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eltesto"/>
        <w:ind w:left="0" w:hanging="0"/>
        <w:jc w:val="left"/>
        <w:rPr>
          <w:rFonts w:ascii="Arial" w:hAnsi="Arial" w:cs="Arial"/>
          <w:sz w:val="20"/>
          <w:szCs w:val="20"/>
        </w:rPr>
      </w:pPr>
      <w:r>
        <w:rPr>
          <w:rFonts w:cs="Arial" w:ascii="Arial" w:hAnsi="Arial"/>
          <w:sz w:val="20"/>
          <w:szCs w:val="20"/>
        </w:rPr>
      </w:r>
    </w:p>
    <w:p>
      <w:pPr>
        <w:pStyle w:val="Normal"/>
        <w:numPr>
          <w:ilvl w:val="0"/>
          <w:numId w:val="0"/>
        </w:numPr>
        <w:tabs>
          <w:tab w:val="clear" w:pos="720"/>
          <w:tab w:val="left" w:pos="5473" w:leader="none"/>
          <w:tab w:val="left" w:pos="8730" w:leader="none"/>
        </w:tabs>
        <w:spacing w:lineRule="auto" w:line="259"/>
        <w:ind w:left="304" w:right="307" w:hanging="5"/>
        <w:outlineLvl w:val="1"/>
        <w:rPr>
          <w:rFonts w:ascii="Arial" w:hAnsi="Arial" w:cs="Arial"/>
          <w:b/>
          <w:b/>
          <w:bCs/>
          <w:sz w:val="28"/>
          <w:szCs w:val="20"/>
        </w:rPr>
      </w:pPr>
      <w:r>
        <w:rPr>
          <w:rFonts w:cs="Arial" w:ascii="Arial" w:hAnsi="Arial"/>
          <w:b/>
          <w:bCs/>
          <w:sz w:val="28"/>
          <w:szCs w:val="20"/>
        </w:rPr>
      </w:r>
    </w:p>
    <w:p>
      <w:pPr>
        <w:pStyle w:val="Normal"/>
        <w:numPr>
          <w:ilvl w:val="0"/>
          <w:numId w:val="0"/>
        </w:numPr>
        <w:tabs>
          <w:tab w:val="clear" w:pos="720"/>
          <w:tab w:val="left" w:pos="5473" w:leader="none"/>
          <w:tab w:val="left" w:pos="8730" w:leader="none"/>
        </w:tabs>
        <w:spacing w:lineRule="auto" w:line="259"/>
        <w:ind w:left="304" w:right="307" w:hanging="5"/>
        <w:jc w:val="center"/>
        <w:outlineLvl w:val="1"/>
        <w:rPr>
          <w:rFonts w:ascii="Arial" w:hAnsi="Arial" w:cs="Arial"/>
          <w:b/>
          <w:b/>
          <w:bCs/>
          <w:sz w:val="32"/>
          <w:szCs w:val="20"/>
        </w:rPr>
      </w:pPr>
      <w:r>
        <w:rPr>
          <w:rFonts w:cs="Arial" w:ascii="Arial" w:hAnsi="Arial"/>
          <w:b/>
          <w:bCs/>
          <w:sz w:val="32"/>
          <w:szCs w:val="20"/>
        </w:rPr>
        <w:t xml:space="preserve">SCHEMA DI CONVENZIONE TRA IL COMUNE DI SETZU E GLI ENTI ADERENTI PER LA COSTITUZIONE ED IL FUNZIONAMENTO DELLA STAZIONE APPALTANTE IN FORMA ASSOCIATA” </w:t>
      </w:r>
    </w:p>
    <w:p>
      <w:pPr>
        <w:pStyle w:val="Normal"/>
        <w:numPr>
          <w:ilvl w:val="0"/>
          <w:numId w:val="0"/>
        </w:numPr>
        <w:tabs>
          <w:tab w:val="clear" w:pos="720"/>
          <w:tab w:val="left" w:pos="5473" w:leader="none"/>
          <w:tab w:val="left" w:pos="8730" w:leader="none"/>
        </w:tabs>
        <w:spacing w:lineRule="auto" w:line="259"/>
        <w:ind w:left="304" w:right="307" w:hanging="5"/>
        <w:jc w:val="center"/>
        <w:outlineLvl w:val="1"/>
        <w:rPr>
          <w:rFonts w:ascii="Arial" w:hAnsi="Arial" w:cs="Arial"/>
          <w:b/>
          <w:b/>
          <w:bCs/>
          <w:sz w:val="28"/>
          <w:szCs w:val="20"/>
        </w:rPr>
      </w:pPr>
      <w:r>
        <w:rPr>
          <w:rFonts w:cs="Arial" w:ascii="Arial" w:hAnsi="Arial"/>
          <w:b/>
          <w:bCs/>
          <w:sz w:val="28"/>
          <w:szCs w:val="20"/>
        </w:rPr>
      </w:r>
    </w:p>
    <w:p>
      <w:pPr>
        <w:pStyle w:val="Normal"/>
        <w:numPr>
          <w:ilvl w:val="0"/>
          <w:numId w:val="0"/>
        </w:numPr>
        <w:tabs>
          <w:tab w:val="clear" w:pos="720"/>
          <w:tab w:val="left" w:pos="5473" w:leader="none"/>
          <w:tab w:val="left" w:pos="8730" w:leader="none"/>
        </w:tabs>
        <w:spacing w:lineRule="auto" w:line="259"/>
        <w:ind w:left="304" w:right="307" w:hanging="5"/>
        <w:jc w:val="center"/>
        <w:outlineLvl w:val="1"/>
        <w:rPr>
          <w:rFonts w:ascii="Arial" w:hAnsi="Arial" w:cs="Arial"/>
          <w:b/>
          <w:b/>
          <w:bCs/>
          <w:szCs w:val="20"/>
        </w:rPr>
      </w:pPr>
      <w:r>
        <w:rPr>
          <w:rFonts w:cs="Arial" w:ascii="Arial" w:hAnsi="Arial"/>
          <w:b/>
          <w:bCs/>
          <w:szCs w:val="20"/>
        </w:rPr>
        <w:t xml:space="preserve">AI SENSI DELL’ART. 37 DEL D.LGS. 18. APRILE 2016, N. 50 E DELL’ART. 63 DEL D.LGS. </w:t>
      </w:r>
    </w:p>
    <w:p>
      <w:pPr>
        <w:pStyle w:val="Normal"/>
        <w:numPr>
          <w:ilvl w:val="0"/>
          <w:numId w:val="0"/>
        </w:numPr>
        <w:tabs>
          <w:tab w:val="clear" w:pos="720"/>
          <w:tab w:val="left" w:pos="5473" w:leader="none"/>
          <w:tab w:val="left" w:pos="8730" w:leader="none"/>
        </w:tabs>
        <w:spacing w:lineRule="auto" w:line="259"/>
        <w:ind w:left="304" w:right="307" w:hanging="5"/>
        <w:jc w:val="center"/>
        <w:outlineLvl w:val="1"/>
        <w:rPr>
          <w:rFonts w:ascii="Arial" w:hAnsi="Arial" w:cs="Arial"/>
          <w:b/>
          <w:b/>
          <w:bCs/>
          <w:szCs w:val="20"/>
        </w:rPr>
      </w:pPr>
      <w:r>
        <w:rPr>
          <w:rFonts w:cs="Arial" w:ascii="Arial" w:hAnsi="Arial"/>
          <w:b/>
          <w:bCs/>
          <w:szCs w:val="20"/>
        </w:rPr>
        <w:t>31 MARZO 2023, N. 36.</w:t>
      </w:r>
    </w:p>
    <w:p>
      <w:pPr>
        <w:pStyle w:val="Normal"/>
        <w:tabs>
          <w:tab w:val="clear" w:pos="720"/>
          <w:tab w:val="left" w:pos="1773" w:leader="none"/>
          <w:tab w:val="left" w:pos="3480" w:leader="none"/>
          <w:tab w:val="left" w:pos="5772" w:leader="none"/>
          <w:tab w:val="left" w:pos="9408" w:leader="none"/>
        </w:tabs>
        <w:spacing w:lineRule="auto" w:line="360"/>
        <w:ind w:left="142" w:right="148" w:hanging="0"/>
        <w:jc w:val="both"/>
        <w:rPr>
          <w:rFonts w:ascii="Arial" w:hAnsi="Arial" w:cs="Arial"/>
          <w:sz w:val="20"/>
          <w:szCs w:val="20"/>
        </w:rPr>
      </w:pPr>
      <w:r>
        <w:rPr>
          <w:rFonts w:cs="Arial" w:ascii="Arial" w:hAnsi="Arial"/>
          <w:sz w:val="20"/>
          <w:szCs w:val="20"/>
        </w:rPr>
      </w:r>
    </w:p>
    <w:p>
      <w:pPr>
        <w:pStyle w:val="Normal"/>
        <w:tabs>
          <w:tab w:val="clear" w:pos="720"/>
          <w:tab w:val="left" w:pos="1773" w:leader="none"/>
          <w:tab w:val="left" w:pos="3480" w:leader="none"/>
          <w:tab w:val="left" w:pos="5772" w:leader="none"/>
          <w:tab w:val="left" w:pos="9408" w:leader="none"/>
        </w:tabs>
        <w:spacing w:lineRule="auto" w:line="360"/>
        <w:ind w:left="142" w:right="148" w:hanging="0"/>
        <w:jc w:val="both"/>
        <w:rPr>
          <w:rFonts w:ascii="Arial" w:hAnsi="Arial" w:cs="Arial"/>
          <w:sz w:val="20"/>
          <w:szCs w:val="20"/>
        </w:rPr>
      </w:pPr>
      <w:r>
        <w:rPr>
          <w:rFonts w:cs="Arial" w:ascii="Arial" w:hAnsi="Arial"/>
          <w:sz w:val="20"/>
          <w:szCs w:val="20"/>
        </w:rPr>
        <w:t xml:space="preserve">L'anno duemilaventicinque, il giorno </w:t>
      </w:r>
      <w:r>
        <w:rPr>
          <w:rFonts w:eastAsia="Times New Roman" w:cs="Arial" w:ascii="Arial" w:hAnsi="Arial"/>
          <w:sz w:val="20"/>
          <w:szCs w:val="20"/>
          <w:lang w:eastAsia="en-US"/>
        </w:rPr>
        <w:t>24</w:t>
      </w:r>
      <w:r>
        <w:rPr>
          <w:rFonts w:cs="Arial" w:ascii="Arial" w:hAnsi="Arial"/>
          <w:sz w:val="20"/>
          <w:szCs w:val="20"/>
        </w:rPr>
        <w:t xml:space="preserve"> del mese di dicembre,</w:t>
      </w:r>
      <w:r>
        <w:rPr>
          <w:rFonts w:cs="Arial" w:ascii="Arial" w:hAnsi="Arial"/>
          <w:spacing w:val="-13"/>
          <w:sz w:val="20"/>
          <w:szCs w:val="20"/>
        </w:rPr>
        <w:t xml:space="preserve"> </w:t>
      </w:r>
      <w:r>
        <w:rPr>
          <w:rFonts w:cs="Arial" w:ascii="Arial" w:hAnsi="Arial"/>
          <w:sz w:val="20"/>
          <w:szCs w:val="20"/>
        </w:rPr>
        <w:t>tra i Signori:</w:t>
      </w:r>
    </w:p>
    <w:p>
      <w:pPr>
        <w:pStyle w:val="Normal"/>
        <w:tabs>
          <w:tab w:val="clear" w:pos="720"/>
          <w:tab w:val="left" w:pos="2658" w:leader="none"/>
          <w:tab w:val="left" w:pos="6506" w:leader="none"/>
        </w:tabs>
        <w:spacing w:lineRule="auto" w:line="360"/>
        <w:ind w:left="142" w:right="139" w:hanging="0"/>
        <w:jc w:val="both"/>
        <w:rPr>
          <w:rFonts w:ascii="Arial" w:hAnsi="Arial" w:cs="Arial"/>
          <w:sz w:val="20"/>
          <w:szCs w:val="20"/>
        </w:rPr>
      </w:pPr>
      <w:r>
        <w:rPr>
          <w:rFonts w:cs="Arial" w:ascii="Arial" w:hAnsi="Arial"/>
          <w:sz w:val="20"/>
          <w:szCs w:val="20"/>
          <w:u w:val="single"/>
        </w:rPr>
        <w:t>Sandro Palla</w:t>
      </w:r>
      <w:r>
        <w:rPr>
          <w:rFonts w:cs="Arial" w:ascii="Arial" w:hAnsi="Arial"/>
          <w:sz w:val="20"/>
          <w:szCs w:val="20"/>
        </w:rPr>
        <w:t>,</w:t>
      </w:r>
      <w:r>
        <w:rPr>
          <w:rFonts w:cs="Arial" w:ascii="Arial" w:hAnsi="Arial"/>
          <w:spacing w:val="40"/>
          <w:sz w:val="20"/>
          <w:szCs w:val="20"/>
        </w:rPr>
        <w:t xml:space="preserve"> </w:t>
      </w:r>
      <w:r>
        <w:rPr>
          <w:rFonts w:cs="Arial" w:ascii="Arial" w:hAnsi="Arial"/>
          <w:sz w:val="20"/>
          <w:szCs w:val="20"/>
        </w:rPr>
        <w:t>Sindaco pro tempore del Comune di Setzu e legale rappresentante, autorizzato alla sottoscrizione del presente atto con deliberazione della Giunta Comunale n. 82 del 16/12/2025;</w:t>
      </w:r>
    </w:p>
    <w:p>
      <w:pPr>
        <w:pStyle w:val="Normal"/>
        <w:tabs>
          <w:tab w:val="clear" w:pos="720"/>
          <w:tab w:val="left" w:pos="2658" w:leader="none"/>
        </w:tabs>
        <w:spacing w:lineRule="auto" w:line="360"/>
        <w:ind w:left="142" w:right="143" w:hanging="0"/>
        <w:jc w:val="both"/>
        <w:rPr>
          <w:rFonts w:ascii="Arial" w:hAnsi="Arial" w:cs="Arial"/>
          <w:sz w:val="20"/>
          <w:szCs w:val="20"/>
        </w:rPr>
      </w:pPr>
      <w:r>
        <w:rPr>
          <w:rFonts w:cs="Arial" w:ascii="Arial" w:hAnsi="Arial"/>
          <w:sz w:val="20"/>
          <w:szCs w:val="20"/>
          <w:u w:val="single"/>
        </w:rPr>
        <w:t>Italo Carruciu</w:t>
      </w:r>
      <w:r>
        <w:rPr>
          <w:rFonts w:cs="Arial" w:ascii="Arial" w:hAnsi="Arial"/>
          <w:sz w:val="20"/>
          <w:szCs w:val="20"/>
        </w:rPr>
        <w:t>, legale rappresentante del Comune di Lunamatrona, autorizzato alla sottoscrizione del presente atto con Deliberazione del Consiglio Comunale</w:t>
      </w:r>
      <w:r>
        <w:rPr>
          <w:rFonts w:cs="Arial" w:ascii="Arial" w:hAnsi="Arial"/>
          <w:spacing w:val="40"/>
          <w:sz w:val="20"/>
          <w:szCs w:val="20"/>
        </w:rPr>
        <w:t xml:space="preserve"> </w:t>
      </w:r>
      <w:r>
        <w:rPr>
          <w:rFonts w:cs="Arial" w:ascii="Arial" w:hAnsi="Arial"/>
          <w:sz w:val="20"/>
          <w:szCs w:val="20"/>
        </w:rPr>
        <w:t>n 43 del 22/12/2025</w:t>
      </w:r>
    </w:p>
    <w:p>
      <w:pPr>
        <w:pStyle w:val="Titolo1"/>
        <w:spacing w:lineRule="auto" w:line="360"/>
        <w:ind w:left="46" w:hanging="0"/>
        <w:rPr>
          <w:rFonts w:ascii="Arial" w:hAnsi="Arial" w:cs="Arial"/>
          <w:sz w:val="20"/>
          <w:szCs w:val="20"/>
        </w:rPr>
      </w:pPr>
      <w:r>
        <w:rPr>
          <w:rFonts w:cs="Arial" w:ascii="Arial" w:hAnsi="Arial"/>
          <w:sz w:val="20"/>
          <w:szCs w:val="20"/>
        </w:rPr>
      </w:r>
      <w:bookmarkStart w:id="0" w:name="_bookmark1"/>
      <w:bookmarkStart w:id="1" w:name="PREMESSO"/>
      <w:bookmarkStart w:id="2" w:name="_bookmark1"/>
      <w:bookmarkStart w:id="3" w:name="PREMESSO"/>
      <w:bookmarkEnd w:id="2"/>
      <w:bookmarkEnd w:id="3"/>
    </w:p>
    <w:p>
      <w:pPr>
        <w:pStyle w:val="Titolo1"/>
        <w:spacing w:lineRule="auto" w:line="360"/>
        <w:ind w:left="46" w:hanging="0"/>
        <w:rPr>
          <w:rFonts w:ascii="Arial" w:hAnsi="Arial" w:cs="Arial"/>
          <w:sz w:val="20"/>
          <w:szCs w:val="20"/>
        </w:rPr>
      </w:pPr>
      <w:r>
        <w:rPr>
          <w:rFonts w:cs="Arial" w:ascii="Arial" w:hAnsi="Arial"/>
          <w:sz w:val="20"/>
          <w:szCs w:val="20"/>
        </w:rPr>
        <w:t>PREMESSO</w:t>
      </w:r>
    </w:p>
    <w:p>
      <w:pPr>
        <w:pStyle w:val="ListParagraph"/>
        <w:numPr>
          <w:ilvl w:val="0"/>
          <w:numId w:val="1"/>
        </w:numPr>
        <w:tabs>
          <w:tab w:val="clear" w:pos="720"/>
          <w:tab w:val="left" w:pos="268" w:leader="none"/>
        </w:tabs>
        <w:spacing w:lineRule="auto" w:line="360" w:before="0" w:after="0"/>
        <w:ind w:left="102" w:right="137" w:hanging="170"/>
        <w:rPr>
          <w:rFonts w:ascii="Arial" w:hAnsi="Arial" w:cs="Arial"/>
          <w:sz w:val="20"/>
          <w:szCs w:val="20"/>
        </w:rPr>
      </w:pPr>
      <w:r>
        <w:rPr>
          <w:rFonts w:cs="Arial" w:ascii="Arial" w:hAnsi="Arial"/>
          <w:sz w:val="20"/>
          <w:szCs w:val="20"/>
        </w:rPr>
        <w:t>Che</w:t>
      </w:r>
      <w:r>
        <w:rPr>
          <w:rFonts w:cs="Arial" w:ascii="Arial" w:hAnsi="Arial"/>
          <w:spacing w:val="-1"/>
          <w:sz w:val="20"/>
          <w:szCs w:val="20"/>
        </w:rPr>
        <w:t xml:space="preserve"> </w:t>
      </w:r>
      <w:r>
        <w:rPr>
          <w:rFonts w:cs="Arial" w:ascii="Arial" w:hAnsi="Arial"/>
          <w:sz w:val="20"/>
          <w:szCs w:val="20"/>
        </w:rPr>
        <w:t>il</w:t>
      </w:r>
      <w:r>
        <w:rPr>
          <w:rFonts w:cs="Arial" w:ascii="Arial" w:hAnsi="Arial"/>
          <w:spacing w:val="-1"/>
          <w:sz w:val="20"/>
          <w:szCs w:val="20"/>
        </w:rPr>
        <w:t xml:space="preserve"> </w:t>
      </w:r>
      <w:r>
        <w:rPr>
          <w:rFonts w:cs="Arial" w:ascii="Arial" w:hAnsi="Arial"/>
          <w:sz w:val="20"/>
          <w:szCs w:val="20"/>
        </w:rPr>
        <w:t>D.Lgs. 36/2023 è entrato in vigore, con i relativi allegati, il 1° aprile 2023 mentre le sue</w:t>
      </w:r>
      <w:r>
        <w:rPr>
          <w:rFonts w:cs="Arial" w:ascii="Arial" w:hAnsi="Arial"/>
          <w:spacing w:val="1"/>
          <w:sz w:val="20"/>
          <w:szCs w:val="20"/>
        </w:rPr>
        <w:t xml:space="preserve"> </w:t>
      </w:r>
      <w:r>
        <w:rPr>
          <w:rFonts w:cs="Arial" w:ascii="Arial" w:hAnsi="Arial"/>
          <w:sz w:val="20"/>
          <w:szCs w:val="20"/>
        </w:rPr>
        <w:t>disposizioni,</w:t>
      </w:r>
      <w:r>
        <w:rPr>
          <w:rFonts w:cs="Arial" w:ascii="Arial" w:hAnsi="Arial"/>
          <w:spacing w:val="-1"/>
          <w:sz w:val="20"/>
          <w:szCs w:val="20"/>
        </w:rPr>
        <w:t xml:space="preserve"> </w:t>
      </w:r>
      <w:r>
        <w:rPr>
          <w:rFonts w:cs="Arial" w:ascii="Arial" w:hAnsi="Arial"/>
          <w:sz w:val="20"/>
          <w:szCs w:val="20"/>
        </w:rPr>
        <w:t>con</w:t>
      </w:r>
      <w:r>
        <w:rPr>
          <w:rFonts w:cs="Arial" w:ascii="Arial" w:hAnsi="Arial"/>
          <w:spacing w:val="-2"/>
          <w:sz w:val="20"/>
          <w:szCs w:val="20"/>
        </w:rPr>
        <w:t xml:space="preserve"> </w:t>
      </w:r>
      <w:r>
        <w:rPr>
          <w:rFonts w:cs="Arial" w:ascii="Arial" w:hAnsi="Arial"/>
          <w:sz w:val="20"/>
          <w:szCs w:val="20"/>
        </w:rPr>
        <w:t>i</w:t>
      </w:r>
      <w:r>
        <w:rPr>
          <w:rFonts w:cs="Arial" w:ascii="Arial" w:hAnsi="Arial"/>
          <w:spacing w:val="-2"/>
          <w:sz w:val="20"/>
          <w:szCs w:val="20"/>
        </w:rPr>
        <w:t xml:space="preserve"> </w:t>
      </w:r>
      <w:r>
        <w:rPr>
          <w:rFonts w:cs="Arial" w:ascii="Arial" w:hAnsi="Arial"/>
          <w:sz w:val="20"/>
          <w:szCs w:val="20"/>
        </w:rPr>
        <w:t>relativi</w:t>
      </w:r>
      <w:r>
        <w:rPr>
          <w:rFonts w:cs="Arial" w:ascii="Arial" w:hAnsi="Arial"/>
          <w:spacing w:val="-1"/>
          <w:sz w:val="20"/>
          <w:szCs w:val="20"/>
        </w:rPr>
        <w:t xml:space="preserve"> </w:t>
      </w:r>
      <w:r>
        <w:rPr>
          <w:rFonts w:cs="Arial" w:ascii="Arial" w:hAnsi="Arial"/>
          <w:sz w:val="20"/>
          <w:szCs w:val="20"/>
        </w:rPr>
        <w:t>allegati,</w:t>
      </w:r>
      <w:r>
        <w:rPr>
          <w:rFonts w:cs="Arial" w:ascii="Arial" w:hAnsi="Arial"/>
          <w:spacing w:val="-2"/>
          <w:sz w:val="20"/>
          <w:szCs w:val="20"/>
        </w:rPr>
        <w:t xml:space="preserve"> sono divenute </w:t>
      </w:r>
      <w:r>
        <w:rPr>
          <w:rFonts w:cs="Arial" w:ascii="Arial" w:hAnsi="Arial"/>
          <w:sz w:val="20"/>
          <w:szCs w:val="20"/>
        </w:rPr>
        <w:t>efficaci il</w:t>
      </w:r>
      <w:r>
        <w:rPr>
          <w:rFonts w:cs="Arial" w:ascii="Arial" w:hAnsi="Arial"/>
          <w:spacing w:val="-2"/>
          <w:sz w:val="20"/>
          <w:szCs w:val="20"/>
        </w:rPr>
        <w:t xml:space="preserve"> </w:t>
      </w:r>
      <w:r>
        <w:rPr>
          <w:rFonts w:cs="Arial" w:ascii="Arial" w:hAnsi="Arial"/>
          <w:sz w:val="20"/>
          <w:szCs w:val="20"/>
        </w:rPr>
        <w:t>1°</w:t>
      </w:r>
      <w:r>
        <w:rPr>
          <w:rFonts w:cs="Arial" w:ascii="Arial" w:hAnsi="Arial"/>
          <w:spacing w:val="-1"/>
          <w:sz w:val="20"/>
          <w:szCs w:val="20"/>
        </w:rPr>
        <w:t xml:space="preserve"> </w:t>
      </w:r>
      <w:r>
        <w:rPr>
          <w:rFonts w:cs="Arial" w:ascii="Arial" w:hAnsi="Arial"/>
          <w:sz w:val="20"/>
          <w:szCs w:val="20"/>
        </w:rPr>
        <w:t>luglio</w:t>
      </w:r>
      <w:r>
        <w:rPr>
          <w:rFonts w:cs="Arial" w:ascii="Arial" w:hAnsi="Arial"/>
          <w:spacing w:val="-2"/>
          <w:sz w:val="20"/>
          <w:szCs w:val="20"/>
        </w:rPr>
        <w:t xml:space="preserve"> </w:t>
      </w:r>
      <w:r>
        <w:rPr>
          <w:rFonts w:cs="Arial" w:ascii="Arial" w:hAnsi="Arial"/>
          <w:sz w:val="20"/>
          <w:szCs w:val="20"/>
        </w:rPr>
        <w:t>2023;</w:t>
      </w:r>
    </w:p>
    <w:p>
      <w:pPr>
        <w:pStyle w:val="ListParagraph"/>
        <w:numPr>
          <w:ilvl w:val="0"/>
          <w:numId w:val="1"/>
        </w:numPr>
        <w:tabs>
          <w:tab w:val="clear" w:pos="720"/>
          <w:tab w:val="left" w:pos="267" w:leader="none"/>
        </w:tabs>
        <w:spacing w:lineRule="auto" w:line="360" w:before="0" w:after="0"/>
        <w:ind w:left="102" w:right="141" w:hanging="170"/>
        <w:rPr>
          <w:rFonts w:ascii="Arial" w:hAnsi="Arial" w:cs="Arial"/>
          <w:sz w:val="20"/>
          <w:szCs w:val="20"/>
        </w:rPr>
      </w:pPr>
      <w:r>
        <w:rPr>
          <w:rFonts w:cs="Arial" w:ascii="Arial" w:hAnsi="Arial"/>
          <w:sz w:val="20"/>
          <w:szCs w:val="20"/>
        </w:rPr>
        <w:t>ai sensi dell’art. 225, 3 comma, del medesimo D.Lgs. 31 marzo 2023, n. 36, il requisito di qualificazione di cui all’articolo 4, comma 1, lettera c) e all’articolo 6, comma 1, lettera c), dell’allegato II 4 è richiesto a decorrere dal 1° gennaio 2024;</w:t>
      </w:r>
    </w:p>
    <w:p>
      <w:pPr>
        <w:pStyle w:val="ListParagraph"/>
        <w:numPr>
          <w:ilvl w:val="0"/>
          <w:numId w:val="2"/>
        </w:numPr>
        <w:tabs>
          <w:tab w:val="clear" w:pos="720"/>
          <w:tab w:val="left" w:pos="142" w:leader="none"/>
        </w:tabs>
        <w:spacing w:lineRule="auto" w:line="360"/>
        <w:ind w:left="142" w:right="113" w:hanging="142"/>
        <w:rPr>
          <w:rFonts w:ascii="Arial" w:hAnsi="Arial" w:cs="Arial"/>
          <w:sz w:val="20"/>
          <w:szCs w:val="20"/>
        </w:rPr>
      </w:pPr>
      <w:r>
        <w:rPr>
          <w:rFonts w:cs="Arial" w:ascii="Arial" w:hAnsi="Arial"/>
          <w:sz w:val="20"/>
          <w:szCs w:val="20"/>
        </w:rPr>
        <w:t>all’art. 62, commi 1 e 2, stabilisce che tutte le stazioni appaltanti possono</w:t>
      </w:r>
      <w:r>
        <w:rPr>
          <w:rFonts w:cs="Arial" w:ascii="Arial" w:hAnsi="Arial"/>
          <w:spacing w:val="1"/>
          <w:sz w:val="20"/>
          <w:szCs w:val="20"/>
        </w:rPr>
        <w:t xml:space="preserve"> </w:t>
      </w:r>
      <w:r>
        <w:rPr>
          <w:rFonts w:cs="Arial" w:ascii="Arial" w:hAnsi="Arial"/>
          <w:sz w:val="20"/>
          <w:szCs w:val="20"/>
        </w:rPr>
        <w:t>procedere direttamente e autonomamente all'acquisizione di forniture e servizi</w:t>
      </w:r>
      <w:r>
        <w:rPr>
          <w:rFonts w:cs="Arial" w:ascii="Arial" w:hAnsi="Arial"/>
          <w:spacing w:val="1"/>
          <w:sz w:val="20"/>
          <w:szCs w:val="20"/>
        </w:rPr>
        <w:t xml:space="preserve"> </w:t>
      </w:r>
      <w:r>
        <w:rPr>
          <w:rFonts w:cs="Arial" w:ascii="Arial" w:hAnsi="Arial"/>
          <w:sz w:val="20"/>
          <w:szCs w:val="20"/>
        </w:rPr>
        <w:t>di</w:t>
      </w:r>
      <w:r>
        <w:rPr>
          <w:rFonts w:cs="Arial" w:ascii="Arial" w:hAnsi="Arial"/>
          <w:spacing w:val="1"/>
          <w:sz w:val="20"/>
          <w:szCs w:val="20"/>
        </w:rPr>
        <w:t xml:space="preserve"> </w:t>
      </w:r>
      <w:r>
        <w:rPr>
          <w:rFonts w:cs="Arial" w:ascii="Arial" w:hAnsi="Arial"/>
          <w:sz w:val="20"/>
          <w:szCs w:val="20"/>
        </w:rPr>
        <w:t>importo</w:t>
      </w:r>
      <w:r>
        <w:rPr>
          <w:rFonts w:cs="Arial" w:ascii="Arial" w:hAnsi="Arial"/>
          <w:spacing w:val="1"/>
          <w:sz w:val="20"/>
          <w:szCs w:val="20"/>
        </w:rPr>
        <w:t xml:space="preserve"> </w:t>
      </w:r>
      <w:r>
        <w:rPr>
          <w:rFonts w:cs="Arial" w:ascii="Arial" w:hAnsi="Arial"/>
          <w:sz w:val="20"/>
          <w:szCs w:val="20"/>
        </w:rPr>
        <w:t>non</w:t>
      </w:r>
      <w:r>
        <w:rPr>
          <w:rFonts w:cs="Arial" w:ascii="Arial" w:hAnsi="Arial"/>
          <w:spacing w:val="1"/>
          <w:sz w:val="20"/>
          <w:szCs w:val="20"/>
        </w:rPr>
        <w:t xml:space="preserve"> </w:t>
      </w:r>
      <w:r>
        <w:rPr>
          <w:rFonts w:cs="Arial" w:ascii="Arial" w:hAnsi="Arial"/>
          <w:sz w:val="20"/>
          <w:szCs w:val="20"/>
        </w:rPr>
        <w:t>superiore</w:t>
      </w:r>
      <w:r>
        <w:rPr>
          <w:rFonts w:cs="Arial" w:ascii="Arial" w:hAnsi="Arial"/>
          <w:spacing w:val="1"/>
          <w:sz w:val="20"/>
          <w:szCs w:val="20"/>
        </w:rPr>
        <w:t xml:space="preserve"> </w:t>
      </w:r>
      <w:r>
        <w:rPr>
          <w:rFonts w:cs="Arial" w:ascii="Arial" w:hAnsi="Arial"/>
          <w:sz w:val="20"/>
          <w:szCs w:val="20"/>
        </w:rPr>
        <w:t>alle</w:t>
      </w:r>
      <w:r>
        <w:rPr>
          <w:rFonts w:cs="Arial" w:ascii="Arial" w:hAnsi="Arial"/>
          <w:spacing w:val="1"/>
          <w:sz w:val="20"/>
          <w:szCs w:val="20"/>
        </w:rPr>
        <w:t xml:space="preserve"> </w:t>
      </w:r>
      <w:r>
        <w:rPr>
          <w:rFonts w:cs="Arial" w:ascii="Arial" w:hAnsi="Arial"/>
          <w:sz w:val="20"/>
          <w:szCs w:val="20"/>
        </w:rPr>
        <w:t>soglie</w:t>
      </w:r>
      <w:r>
        <w:rPr>
          <w:rFonts w:cs="Arial" w:ascii="Arial" w:hAnsi="Arial"/>
          <w:spacing w:val="1"/>
          <w:sz w:val="20"/>
          <w:szCs w:val="20"/>
        </w:rPr>
        <w:t xml:space="preserve"> </w:t>
      </w:r>
      <w:r>
        <w:rPr>
          <w:rFonts w:cs="Arial" w:ascii="Arial" w:hAnsi="Arial"/>
          <w:sz w:val="20"/>
          <w:szCs w:val="20"/>
        </w:rPr>
        <w:t>previste</w:t>
      </w:r>
      <w:r>
        <w:rPr>
          <w:rFonts w:cs="Arial" w:ascii="Arial" w:hAnsi="Arial"/>
          <w:spacing w:val="1"/>
          <w:sz w:val="20"/>
          <w:szCs w:val="20"/>
        </w:rPr>
        <w:t xml:space="preserve"> </w:t>
      </w:r>
      <w:r>
        <w:rPr>
          <w:rFonts w:cs="Arial" w:ascii="Arial" w:hAnsi="Arial"/>
          <w:sz w:val="20"/>
          <w:szCs w:val="20"/>
        </w:rPr>
        <w:t>per</w:t>
      </w:r>
      <w:r>
        <w:rPr>
          <w:rFonts w:cs="Arial" w:ascii="Arial" w:hAnsi="Arial"/>
          <w:spacing w:val="1"/>
          <w:sz w:val="20"/>
          <w:szCs w:val="20"/>
        </w:rPr>
        <w:t xml:space="preserve"> </w:t>
      </w:r>
      <w:r>
        <w:rPr>
          <w:rFonts w:cs="Arial" w:ascii="Arial" w:hAnsi="Arial"/>
          <w:sz w:val="20"/>
          <w:szCs w:val="20"/>
        </w:rPr>
        <w:t>gli</w:t>
      </w:r>
      <w:r>
        <w:rPr>
          <w:rFonts w:cs="Arial" w:ascii="Arial" w:hAnsi="Arial"/>
          <w:spacing w:val="1"/>
          <w:sz w:val="20"/>
          <w:szCs w:val="20"/>
        </w:rPr>
        <w:t xml:space="preserve"> </w:t>
      </w:r>
      <w:r>
        <w:rPr>
          <w:rFonts w:cs="Arial" w:ascii="Arial" w:hAnsi="Arial"/>
          <w:sz w:val="20"/>
          <w:szCs w:val="20"/>
        </w:rPr>
        <w:t>affidamenti</w:t>
      </w:r>
      <w:r>
        <w:rPr>
          <w:rFonts w:cs="Arial" w:ascii="Arial" w:hAnsi="Arial"/>
          <w:spacing w:val="1"/>
          <w:sz w:val="20"/>
          <w:szCs w:val="20"/>
        </w:rPr>
        <w:t xml:space="preserve"> </w:t>
      </w:r>
      <w:r>
        <w:rPr>
          <w:rFonts w:cs="Arial" w:ascii="Arial" w:hAnsi="Arial"/>
          <w:sz w:val="20"/>
          <w:szCs w:val="20"/>
        </w:rPr>
        <w:t>diretti,</w:t>
      </w:r>
      <w:r>
        <w:rPr>
          <w:rFonts w:cs="Arial" w:ascii="Arial" w:hAnsi="Arial"/>
          <w:spacing w:val="1"/>
          <w:sz w:val="20"/>
          <w:szCs w:val="20"/>
        </w:rPr>
        <w:t xml:space="preserve"> </w:t>
      </w:r>
      <w:r>
        <w:rPr>
          <w:rFonts w:cs="Arial" w:ascii="Arial" w:hAnsi="Arial"/>
          <w:sz w:val="20"/>
          <w:szCs w:val="20"/>
        </w:rPr>
        <w:t>e</w:t>
      </w:r>
      <w:r>
        <w:rPr>
          <w:rFonts w:cs="Arial" w:ascii="Arial" w:hAnsi="Arial"/>
          <w:spacing w:val="-67"/>
          <w:sz w:val="20"/>
          <w:szCs w:val="20"/>
        </w:rPr>
        <w:t xml:space="preserve"> </w:t>
      </w:r>
      <w:r>
        <w:rPr>
          <w:rFonts w:cs="Arial" w:ascii="Arial" w:hAnsi="Arial"/>
          <w:sz w:val="20"/>
          <w:szCs w:val="20"/>
        </w:rPr>
        <w:t>all’affidamento di lavori d’importo pari o inferiore a 500.000 euro, nonché</w:t>
      </w:r>
      <w:r>
        <w:rPr>
          <w:rFonts w:cs="Arial" w:ascii="Arial" w:hAnsi="Arial"/>
          <w:spacing w:val="1"/>
          <w:sz w:val="20"/>
          <w:szCs w:val="20"/>
        </w:rPr>
        <w:t xml:space="preserve"> </w:t>
      </w:r>
      <w:r>
        <w:rPr>
          <w:rFonts w:cs="Arial" w:ascii="Arial" w:hAnsi="Arial"/>
          <w:sz w:val="20"/>
          <w:szCs w:val="20"/>
        </w:rPr>
        <w:t>attraverso l'effettuazione di ordini a valere su strumenti di acquisto messi a</w:t>
      </w:r>
      <w:r>
        <w:rPr>
          <w:rFonts w:cs="Arial" w:ascii="Arial" w:hAnsi="Arial"/>
          <w:spacing w:val="1"/>
          <w:sz w:val="20"/>
          <w:szCs w:val="20"/>
        </w:rPr>
        <w:t xml:space="preserve"> </w:t>
      </w:r>
      <w:r>
        <w:rPr>
          <w:rFonts w:cs="Arial" w:ascii="Arial" w:hAnsi="Arial"/>
          <w:sz w:val="20"/>
          <w:szCs w:val="20"/>
        </w:rPr>
        <w:t>disposizione dalle centrali di committenza qualificate e dai soggetti aggregatori</w:t>
      </w:r>
      <w:r>
        <w:rPr>
          <w:rFonts w:cs="Arial" w:ascii="Arial" w:hAnsi="Arial"/>
          <w:spacing w:val="-67"/>
          <w:sz w:val="20"/>
          <w:szCs w:val="20"/>
        </w:rPr>
        <w:t xml:space="preserve"> </w:t>
      </w:r>
      <w:r>
        <w:rPr>
          <w:rFonts w:cs="Arial" w:ascii="Arial" w:hAnsi="Arial"/>
          <w:sz w:val="20"/>
          <w:szCs w:val="20"/>
        </w:rPr>
        <w:t>e che per effettuare le procedure di importo superiore alle suddette soglie, le</w:t>
      </w:r>
      <w:r>
        <w:rPr>
          <w:rFonts w:cs="Arial" w:ascii="Arial" w:hAnsi="Arial"/>
          <w:spacing w:val="1"/>
          <w:sz w:val="20"/>
          <w:szCs w:val="20"/>
        </w:rPr>
        <w:t xml:space="preserve"> </w:t>
      </w:r>
      <w:r>
        <w:rPr>
          <w:rFonts w:cs="Arial" w:ascii="Arial" w:hAnsi="Arial"/>
          <w:sz w:val="20"/>
          <w:szCs w:val="20"/>
        </w:rPr>
        <w:t>stazioni</w:t>
      </w:r>
      <w:r>
        <w:rPr>
          <w:rFonts w:cs="Arial" w:ascii="Arial" w:hAnsi="Arial"/>
          <w:spacing w:val="1"/>
          <w:sz w:val="20"/>
          <w:szCs w:val="20"/>
        </w:rPr>
        <w:t xml:space="preserve"> </w:t>
      </w:r>
      <w:r>
        <w:rPr>
          <w:rFonts w:cs="Arial" w:ascii="Arial" w:hAnsi="Arial"/>
          <w:sz w:val="20"/>
          <w:szCs w:val="20"/>
        </w:rPr>
        <w:t>appaltanti</w:t>
      </w:r>
      <w:r>
        <w:rPr>
          <w:rFonts w:cs="Arial" w:ascii="Arial" w:hAnsi="Arial"/>
          <w:spacing w:val="1"/>
          <w:sz w:val="20"/>
          <w:szCs w:val="20"/>
        </w:rPr>
        <w:t xml:space="preserve"> </w:t>
      </w:r>
      <w:r>
        <w:rPr>
          <w:rFonts w:cs="Arial" w:ascii="Arial" w:hAnsi="Arial"/>
          <w:sz w:val="20"/>
          <w:szCs w:val="20"/>
        </w:rPr>
        <w:t>devono</w:t>
      </w:r>
      <w:r>
        <w:rPr>
          <w:rFonts w:cs="Arial" w:ascii="Arial" w:hAnsi="Arial"/>
          <w:spacing w:val="1"/>
          <w:sz w:val="20"/>
          <w:szCs w:val="20"/>
        </w:rPr>
        <w:t xml:space="preserve"> </w:t>
      </w:r>
      <w:r>
        <w:rPr>
          <w:rFonts w:cs="Arial" w:ascii="Arial" w:hAnsi="Arial"/>
          <w:sz w:val="20"/>
          <w:szCs w:val="20"/>
        </w:rPr>
        <w:t>essere</w:t>
      </w:r>
      <w:r>
        <w:rPr>
          <w:rFonts w:cs="Arial" w:ascii="Arial" w:hAnsi="Arial"/>
          <w:spacing w:val="1"/>
          <w:sz w:val="20"/>
          <w:szCs w:val="20"/>
        </w:rPr>
        <w:t xml:space="preserve"> </w:t>
      </w:r>
      <w:r>
        <w:rPr>
          <w:rFonts w:cs="Arial" w:ascii="Arial" w:hAnsi="Arial"/>
          <w:sz w:val="20"/>
          <w:szCs w:val="20"/>
        </w:rPr>
        <w:t>qualificate</w:t>
      </w:r>
      <w:r>
        <w:rPr>
          <w:rFonts w:cs="Arial" w:ascii="Arial" w:hAnsi="Arial"/>
          <w:spacing w:val="1"/>
          <w:sz w:val="20"/>
          <w:szCs w:val="20"/>
        </w:rPr>
        <w:t xml:space="preserve"> </w:t>
      </w:r>
      <w:r>
        <w:rPr>
          <w:rFonts w:cs="Arial" w:ascii="Arial" w:hAnsi="Arial"/>
          <w:sz w:val="20"/>
          <w:szCs w:val="20"/>
        </w:rPr>
        <w:t>ai</w:t>
      </w:r>
      <w:r>
        <w:rPr>
          <w:rFonts w:cs="Arial" w:ascii="Arial" w:hAnsi="Arial"/>
          <w:spacing w:val="1"/>
          <w:sz w:val="20"/>
          <w:szCs w:val="20"/>
        </w:rPr>
        <w:t xml:space="preserve"> </w:t>
      </w:r>
      <w:r>
        <w:rPr>
          <w:rFonts w:cs="Arial" w:ascii="Arial" w:hAnsi="Arial"/>
          <w:sz w:val="20"/>
          <w:szCs w:val="20"/>
        </w:rPr>
        <w:t>sensi</w:t>
      </w:r>
      <w:r>
        <w:rPr>
          <w:rFonts w:cs="Arial" w:ascii="Arial" w:hAnsi="Arial"/>
          <w:spacing w:val="1"/>
          <w:sz w:val="20"/>
          <w:szCs w:val="20"/>
        </w:rPr>
        <w:t xml:space="preserve"> </w:t>
      </w:r>
      <w:r>
        <w:rPr>
          <w:rFonts w:cs="Arial" w:ascii="Arial" w:hAnsi="Arial"/>
          <w:sz w:val="20"/>
          <w:szCs w:val="20"/>
        </w:rPr>
        <w:t>dell’articolo</w:t>
      </w:r>
      <w:r>
        <w:rPr>
          <w:rFonts w:cs="Arial" w:ascii="Arial" w:hAnsi="Arial"/>
          <w:spacing w:val="1"/>
          <w:sz w:val="20"/>
          <w:szCs w:val="20"/>
        </w:rPr>
        <w:t xml:space="preserve"> </w:t>
      </w:r>
      <w:r>
        <w:rPr>
          <w:rFonts w:cs="Arial" w:ascii="Arial" w:hAnsi="Arial"/>
          <w:sz w:val="20"/>
          <w:szCs w:val="20"/>
        </w:rPr>
        <w:t>63</w:t>
      </w:r>
      <w:r>
        <w:rPr>
          <w:rFonts w:cs="Arial" w:ascii="Arial" w:hAnsi="Arial"/>
          <w:spacing w:val="1"/>
          <w:sz w:val="20"/>
          <w:szCs w:val="20"/>
        </w:rPr>
        <w:t xml:space="preserve"> </w:t>
      </w:r>
      <w:r>
        <w:rPr>
          <w:rFonts w:cs="Arial" w:ascii="Arial" w:hAnsi="Arial"/>
          <w:sz w:val="20"/>
          <w:szCs w:val="20"/>
        </w:rPr>
        <w:t>e</w:t>
      </w:r>
      <w:r>
        <w:rPr>
          <w:rFonts w:cs="Arial" w:ascii="Arial" w:hAnsi="Arial"/>
          <w:spacing w:val="1"/>
          <w:sz w:val="20"/>
          <w:szCs w:val="20"/>
        </w:rPr>
        <w:t xml:space="preserve"> </w:t>
      </w:r>
      <w:r>
        <w:rPr>
          <w:rFonts w:cs="Arial" w:ascii="Arial" w:hAnsi="Arial"/>
          <w:sz w:val="20"/>
          <w:szCs w:val="20"/>
        </w:rPr>
        <w:t>dell’allegato II.4 dello</w:t>
      </w:r>
      <w:r>
        <w:rPr>
          <w:rFonts w:cs="Arial" w:ascii="Arial" w:hAnsi="Arial"/>
          <w:spacing w:val="-1"/>
          <w:sz w:val="20"/>
          <w:szCs w:val="20"/>
        </w:rPr>
        <w:t xml:space="preserve"> </w:t>
      </w:r>
      <w:r>
        <w:rPr>
          <w:rFonts w:cs="Arial" w:ascii="Arial" w:hAnsi="Arial"/>
          <w:sz w:val="20"/>
          <w:szCs w:val="20"/>
        </w:rPr>
        <w:t>stesso Decreto Legislativo;</w:t>
      </w:r>
    </w:p>
    <w:p>
      <w:pPr>
        <w:pStyle w:val="ListParagraph"/>
        <w:numPr>
          <w:ilvl w:val="0"/>
          <w:numId w:val="2"/>
        </w:numPr>
        <w:tabs>
          <w:tab w:val="clear" w:pos="720"/>
          <w:tab w:val="left" w:pos="142" w:leader="none"/>
        </w:tabs>
        <w:spacing w:lineRule="auto" w:line="360"/>
        <w:ind w:left="142" w:right="113" w:hanging="142"/>
        <w:rPr>
          <w:rFonts w:ascii="Arial" w:hAnsi="Arial" w:cs="Arial"/>
          <w:sz w:val="20"/>
          <w:szCs w:val="20"/>
        </w:rPr>
      </w:pPr>
      <w:r>
        <w:rPr>
          <w:rFonts w:cs="Arial" w:ascii="Arial" w:hAnsi="Arial"/>
          <w:sz w:val="20"/>
          <w:szCs w:val="20"/>
        </w:rPr>
        <w:t>all’art.62, comma 6, prevede che, le stazioni appaltanti non qualificate per</w:t>
      </w:r>
      <w:r>
        <w:rPr>
          <w:rFonts w:cs="Arial" w:ascii="Arial" w:hAnsi="Arial"/>
          <w:spacing w:val="1"/>
          <w:sz w:val="20"/>
          <w:szCs w:val="20"/>
        </w:rPr>
        <w:t xml:space="preserve"> </w:t>
      </w:r>
      <w:r>
        <w:rPr>
          <w:rFonts w:cs="Arial" w:ascii="Arial" w:hAnsi="Arial"/>
          <w:sz w:val="20"/>
          <w:szCs w:val="20"/>
        </w:rPr>
        <w:t>l’acquisizione</w:t>
      </w:r>
      <w:r>
        <w:rPr>
          <w:rFonts w:cs="Arial" w:ascii="Arial" w:hAnsi="Arial"/>
          <w:spacing w:val="13"/>
          <w:sz w:val="20"/>
          <w:szCs w:val="20"/>
        </w:rPr>
        <w:t xml:space="preserve"> </w:t>
      </w:r>
      <w:r>
        <w:rPr>
          <w:rFonts w:cs="Arial" w:ascii="Arial" w:hAnsi="Arial"/>
          <w:sz w:val="20"/>
          <w:szCs w:val="20"/>
        </w:rPr>
        <w:t>di</w:t>
      </w:r>
      <w:r>
        <w:rPr>
          <w:rFonts w:cs="Arial" w:ascii="Arial" w:hAnsi="Arial"/>
          <w:spacing w:val="14"/>
          <w:sz w:val="20"/>
          <w:szCs w:val="20"/>
        </w:rPr>
        <w:t xml:space="preserve"> </w:t>
      </w:r>
      <w:r>
        <w:rPr>
          <w:rFonts w:cs="Arial" w:ascii="Arial" w:hAnsi="Arial"/>
          <w:sz w:val="20"/>
          <w:szCs w:val="20"/>
        </w:rPr>
        <w:t>forniture</w:t>
      </w:r>
      <w:r>
        <w:rPr>
          <w:rFonts w:cs="Arial" w:ascii="Arial" w:hAnsi="Arial"/>
          <w:spacing w:val="14"/>
          <w:sz w:val="20"/>
          <w:szCs w:val="20"/>
        </w:rPr>
        <w:t xml:space="preserve"> </w:t>
      </w:r>
      <w:r>
        <w:rPr>
          <w:rFonts w:cs="Arial" w:ascii="Arial" w:hAnsi="Arial"/>
          <w:sz w:val="20"/>
          <w:szCs w:val="20"/>
        </w:rPr>
        <w:t>e</w:t>
      </w:r>
      <w:r>
        <w:rPr>
          <w:rFonts w:cs="Arial" w:ascii="Arial" w:hAnsi="Arial"/>
          <w:spacing w:val="13"/>
          <w:sz w:val="20"/>
          <w:szCs w:val="20"/>
        </w:rPr>
        <w:t xml:space="preserve"> </w:t>
      </w:r>
      <w:r>
        <w:rPr>
          <w:rFonts w:cs="Arial" w:ascii="Arial" w:hAnsi="Arial"/>
          <w:sz w:val="20"/>
          <w:szCs w:val="20"/>
        </w:rPr>
        <w:t>servizi</w:t>
      </w:r>
      <w:r>
        <w:rPr>
          <w:rFonts w:cs="Arial" w:ascii="Arial" w:hAnsi="Arial"/>
          <w:spacing w:val="14"/>
          <w:sz w:val="20"/>
          <w:szCs w:val="20"/>
        </w:rPr>
        <w:t xml:space="preserve"> </w:t>
      </w:r>
      <w:r>
        <w:rPr>
          <w:rFonts w:cs="Arial" w:ascii="Arial" w:hAnsi="Arial"/>
          <w:sz w:val="20"/>
          <w:szCs w:val="20"/>
        </w:rPr>
        <w:t>di</w:t>
      </w:r>
      <w:r>
        <w:rPr>
          <w:rFonts w:cs="Arial" w:ascii="Arial" w:hAnsi="Arial"/>
          <w:spacing w:val="14"/>
          <w:sz w:val="20"/>
          <w:szCs w:val="20"/>
        </w:rPr>
        <w:t xml:space="preserve"> </w:t>
      </w:r>
      <w:r>
        <w:rPr>
          <w:rFonts w:cs="Arial" w:ascii="Arial" w:hAnsi="Arial"/>
          <w:sz w:val="20"/>
          <w:szCs w:val="20"/>
        </w:rPr>
        <w:t>importo</w:t>
      </w:r>
      <w:r>
        <w:rPr>
          <w:rFonts w:cs="Arial" w:ascii="Arial" w:hAnsi="Arial"/>
          <w:spacing w:val="13"/>
          <w:sz w:val="20"/>
          <w:szCs w:val="20"/>
        </w:rPr>
        <w:t xml:space="preserve"> </w:t>
      </w:r>
      <w:r>
        <w:rPr>
          <w:rFonts w:cs="Arial" w:ascii="Arial" w:hAnsi="Arial"/>
          <w:sz w:val="20"/>
          <w:szCs w:val="20"/>
        </w:rPr>
        <w:t>pari</w:t>
      </w:r>
      <w:r>
        <w:rPr>
          <w:rFonts w:cs="Arial" w:ascii="Arial" w:hAnsi="Arial"/>
          <w:spacing w:val="14"/>
          <w:sz w:val="20"/>
          <w:szCs w:val="20"/>
        </w:rPr>
        <w:t xml:space="preserve"> </w:t>
      </w:r>
      <w:r>
        <w:rPr>
          <w:rFonts w:cs="Arial" w:ascii="Arial" w:hAnsi="Arial"/>
          <w:sz w:val="20"/>
          <w:szCs w:val="20"/>
        </w:rPr>
        <w:t>o</w:t>
      </w:r>
      <w:r>
        <w:rPr>
          <w:rFonts w:cs="Arial" w:ascii="Arial" w:hAnsi="Arial"/>
          <w:spacing w:val="14"/>
          <w:sz w:val="20"/>
          <w:szCs w:val="20"/>
        </w:rPr>
        <w:t xml:space="preserve"> </w:t>
      </w:r>
      <w:r>
        <w:rPr>
          <w:rFonts w:cs="Arial" w:ascii="Arial" w:hAnsi="Arial"/>
          <w:sz w:val="20"/>
          <w:szCs w:val="20"/>
        </w:rPr>
        <w:t>superiore</w:t>
      </w:r>
      <w:r>
        <w:rPr>
          <w:rFonts w:cs="Arial" w:ascii="Arial" w:hAnsi="Arial"/>
          <w:spacing w:val="14"/>
          <w:sz w:val="20"/>
          <w:szCs w:val="20"/>
        </w:rPr>
        <w:t xml:space="preserve"> </w:t>
      </w:r>
      <w:r>
        <w:rPr>
          <w:rFonts w:cs="Arial" w:ascii="Arial" w:hAnsi="Arial"/>
          <w:sz w:val="20"/>
          <w:szCs w:val="20"/>
        </w:rPr>
        <w:t>a</w:t>
      </w:r>
      <w:r>
        <w:rPr>
          <w:rFonts w:cs="Arial" w:ascii="Arial" w:hAnsi="Arial"/>
          <w:spacing w:val="13"/>
          <w:sz w:val="20"/>
          <w:szCs w:val="20"/>
        </w:rPr>
        <w:t xml:space="preserve"> </w:t>
      </w:r>
      <w:r>
        <w:rPr>
          <w:rFonts w:cs="Arial" w:ascii="Arial" w:hAnsi="Arial"/>
          <w:sz w:val="20"/>
          <w:szCs w:val="20"/>
        </w:rPr>
        <w:t>140.000</w:t>
      </w:r>
      <w:r>
        <w:rPr>
          <w:rFonts w:cs="Arial" w:ascii="Arial" w:hAnsi="Arial"/>
          <w:spacing w:val="14"/>
          <w:sz w:val="20"/>
          <w:szCs w:val="20"/>
        </w:rPr>
        <w:t xml:space="preserve"> </w:t>
      </w:r>
      <w:r>
        <w:rPr>
          <w:rFonts w:cs="Arial" w:ascii="Arial" w:hAnsi="Arial"/>
          <w:sz w:val="20"/>
          <w:szCs w:val="20"/>
        </w:rPr>
        <w:t>euro</w:t>
      </w:r>
      <w:r>
        <w:rPr>
          <w:rFonts w:cs="Arial" w:ascii="Arial" w:hAnsi="Arial"/>
          <w:spacing w:val="-68"/>
          <w:sz w:val="20"/>
          <w:szCs w:val="20"/>
        </w:rPr>
        <w:t xml:space="preserve"> </w:t>
      </w:r>
      <w:r>
        <w:rPr>
          <w:rFonts w:cs="Arial" w:ascii="Arial" w:hAnsi="Arial"/>
          <w:sz w:val="20"/>
          <w:szCs w:val="20"/>
        </w:rPr>
        <w:t>e</w:t>
      </w:r>
      <w:r>
        <w:rPr>
          <w:rFonts w:cs="Arial" w:ascii="Arial" w:hAnsi="Arial"/>
          <w:spacing w:val="-2"/>
          <w:sz w:val="20"/>
          <w:szCs w:val="20"/>
        </w:rPr>
        <w:t xml:space="preserve"> </w:t>
      </w:r>
      <w:r>
        <w:rPr>
          <w:rFonts w:cs="Arial" w:ascii="Arial" w:hAnsi="Arial"/>
          <w:sz w:val="20"/>
          <w:szCs w:val="20"/>
        </w:rPr>
        <w:t>di lavori di importo superiore 500.000 euro:</w:t>
      </w:r>
    </w:p>
    <w:p>
      <w:pPr>
        <w:pStyle w:val="ListParagraph"/>
        <w:numPr>
          <w:ilvl w:val="0"/>
          <w:numId w:val="18"/>
        </w:numPr>
        <w:tabs>
          <w:tab w:val="clear" w:pos="720"/>
          <w:tab w:val="left" w:pos="142" w:leader="none"/>
        </w:tabs>
        <w:spacing w:lineRule="auto" w:line="360"/>
        <w:ind w:left="862" w:right="113" w:hanging="360"/>
        <w:rPr>
          <w:rFonts w:ascii="Arial" w:hAnsi="Arial" w:cs="Arial"/>
          <w:sz w:val="20"/>
          <w:szCs w:val="20"/>
        </w:rPr>
      </w:pPr>
      <w:r>
        <w:rPr>
          <w:rFonts w:cs="Arial" w:ascii="Arial" w:hAnsi="Arial"/>
          <w:sz w:val="20"/>
          <w:szCs w:val="20"/>
        </w:rPr>
        <w:t>procedono all’acquisizione di forniture, servizi e lavori ricorrendo a una</w:t>
      </w:r>
      <w:r>
        <w:rPr>
          <w:rFonts w:cs="Arial" w:ascii="Arial" w:hAnsi="Arial"/>
          <w:spacing w:val="1"/>
          <w:sz w:val="20"/>
          <w:szCs w:val="20"/>
        </w:rPr>
        <w:t xml:space="preserve"> </w:t>
      </w:r>
      <w:r>
        <w:rPr>
          <w:rFonts w:cs="Arial" w:ascii="Arial" w:hAnsi="Arial"/>
          <w:sz w:val="20"/>
          <w:szCs w:val="20"/>
        </w:rPr>
        <w:t>centrale</w:t>
      </w:r>
      <w:r>
        <w:rPr>
          <w:rFonts w:cs="Arial" w:ascii="Arial" w:hAnsi="Arial"/>
          <w:spacing w:val="-2"/>
          <w:sz w:val="20"/>
          <w:szCs w:val="20"/>
        </w:rPr>
        <w:t xml:space="preserve"> </w:t>
      </w:r>
      <w:r>
        <w:rPr>
          <w:rFonts w:cs="Arial" w:ascii="Arial" w:hAnsi="Arial"/>
          <w:sz w:val="20"/>
          <w:szCs w:val="20"/>
        </w:rPr>
        <w:t>di committenza</w:t>
      </w:r>
      <w:r>
        <w:rPr>
          <w:rFonts w:cs="Arial" w:ascii="Arial" w:hAnsi="Arial"/>
          <w:spacing w:val="-1"/>
          <w:sz w:val="20"/>
          <w:szCs w:val="20"/>
        </w:rPr>
        <w:t xml:space="preserve"> </w:t>
      </w:r>
      <w:r>
        <w:rPr>
          <w:rFonts w:cs="Arial" w:ascii="Arial" w:hAnsi="Arial"/>
          <w:sz w:val="20"/>
          <w:szCs w:val="20"/>
        </w:rPr>
        <w:t>qualificata;</w:t>
      </w:r>
    </w:p>
    <w:p>
      <w:pPr>
        <w:pStyle w:val="ListParagraph"/>
        <w:numPr>
          <w:ilvl w:val="0"/>
          <w:numId w:val="18"/>
        </w:numPr>
        <w:tabs>
          <w:tab w:val="clear" w:pos="720"/>
          <w:tab w:val="left" w:pos="142" w:leader="none"/>
        </w:tabs>
        <w:spacing w:lineRule="auto" w:line="360"/>
        <w:ind w:left="862" w:right="113" w:hanging="360"/>
        <w:rPr>
          <w:rFonts w:ascii="Arial" w:hAnsi="Arial" w:cs="Arial"/>
          <w:sz w:val="20"/>
          <w:szCs w:val="20"/>
        </w:rPr>
      </w:pPr>
      <w:r>
        <w:rPr>
          <w:rFonts w:cs="Arial" w:ascii="Arial" w:hAnsi="Arial"/>
          <w:sz w:val="20"/>
          <w:szCs w:val="20"/>
        </w:rPr>
        <w:t>ricorrono per attività di committenza ausiliaria di cui all’art. 3, comma 1,</w:t>
      </w:r>
      <w:r>
        <w:rPr>
          <w:rFonts w:cs="Arial" w:ascii="Arial" w:hAnsi="Arial"/>
          <w:spacing w:val="1"/>
          <w:sz w:val="20"/>
          <w:szCs w:val="20"/>
        </w:rPr>
        <w:t xml:space="preserve"> </w:t>
      </w:r>
      <w:r>
        <w:rPr>
          <w:rFonts w:cs="Arial" w:ascii="Arial" w:hAnsi="Arial"/>
          <w:sz w:val="20"/>
          <w:szCs w:val="20"/>
        </w:rPr>
        <w:t>lettera z), dell’allegato I.1 a centrali di committenza qualificate e a stazioni</w:t>
      </w:r>
      <w:r>
        <w:rPr>
          <w:rFonts w:cs="Arial" w:ascii="Arial" w:hAnsi="Arial"/>
          <w:spacing w:val="1"/>
          <w:sz w:val="20"/>
          <w:szCs w:val="20"/>
        </w:rPr>
        <w:t xml:space="preserve"> </w:t>
      </w:r>
      <w:r>
        <w:rPr>
          <w:rFonts w:cs="Arial" w:ascii="Arial" w:hAnsi="Arial"/>
          <w:sz w:val="20"/>
          <w:szCs w:val="20"/>
        </w:rPr>
        <w:t>appaltanti</w:t>
      </w:r>
      <w:r>
        <w:rPr>
          <w:rFonts w:cs="Arial" w:ascii="Arial" w:hAnsi="Arial"/>
          <w:spacing w:val="-1"/>
          <w:sz w:val="20"/>
          <w:szCs w:val="20"/>
        </w:rPr>
        <w:t xml:space="preserve"> </w:t>
      </w:r>
      <w:r>
        <w:rPr>
          <w:rFonts w:cs="Arial" w:ascii="Arial" w:hAnsi="Arial"/>
          <w:sz w:val="20"/>
          <w:szCs w:val="20"/>
        </w:rPr>
        <w:t>qualificate;</w:t>
      </w:r>
    </w:p>
    <w:p>
      <w:pPr>
        <w:pStyle w:val="ListParagraph"/>
        <w:numPr>
          <w:ilvl w:val="0"/>
          <w:numId w:val="18"/>
        </w:numPr>
        <w:tabs>
          <w:tab w:val="clear" w:pos="720"/>
          <w:tab w:val="left" w:pos="142" w:leader="none"/>
        </w:tabs>
        <w:spacing w:lineRule="auto" w:line="360"/>
        <w:ind w:left="862" w:right="113" w:hanging="360"/>
        <w:rPr>
          <w:rFonts w:ascii="Arial" w:hAnsi="Arial" w:cs="Arial"/>
          <w:sz w:val="20"/>
          <w:szCs w:val="20"/>
        </w:rPr>
      </w:pPr>
      <w:r>
        <w:rPr>
          <w:rFonts w:cs="Arial" w:ascii="Arial" w:hAnsi="Arial"/>
          <w:sz w:val="20"/>
          <w:szCs w:val="20"/>
        </w:rPr>
        <w:t>procedono ad affidamenti per servizi e forniture di importo inferiore alla</w:t>
      </w:r>
      <w:r>
        <w:rPr>
          <w:rFonts w:cs="Arial" w:ascii="Arial" w:hAnsi="Arial"/>
          <w:spacing w:val="1"/>
          <w:sz w:val="20"/>
          <w:szCs w:val="20"/>
        </w:rPr>
        <w:t xml:space="preserve"> </w:t>
      </w:r>
      <w:r>
        <w:rPr>
          <w:rFonts w:cs="Arial" w:ascii="Arial" w:hAnsi="Arial"/>
          <w:sz w:val="20"/>
          <w:szCs w:val="20"/>
        </w:rPr>
        <w:t>soglia europea di cui ai commi 1 e 2 dell’articolo 14 nonché ad affidamenti di</w:t>
      </w:r>
      <w:r>
        <w:rPr>
          <w:rFonts w:cs="Arial" w:ascii="Arial" w:hAnsi="Arial"/>
          <w:spacing w:val="1"/>
          <w:sz w:val="20"/>
          <w:szCs w:val="20"/>
        </w:rPr>
        <w:t xml:space="preserve"> </w:t>
      </w:r>
      <w:r>
        <w:rPr>
          <w:rFonts w:cs="Arial" w:ascii="Arial" w:hAnsi="Arial"/>
          <w:sz w:val="20"/>
          <w:szCs w:val="20"/>
        </w:rPr>
        <w:t>lavori</w:t>
      </w:r>
      <w:r>
        <w:rPr>
          <w:rFonts w:cs="Arial" w:ascii="Arial" w:hAnsi="Arial"/>
          <w:spacing w:val="1"/>
          <w:sz w:val="20"/>
          <w:szCs w:val="20"/>
        </w:rPr>
        <w:t xml:space="preserve"> </w:t>
      </w:r>
      <w:r>
        <w:rPr>
          <w:rFonts w:cs="Arial" w:ascii="Arial" w:hAnsi="Arial"/>
          <w:sz w:val="20"/>
          <w:szCs w:val="20"/>
        </w:rPr>
        <w:t>di</w:t>
      </w:r>
      <w:r>
        <w:rPr>
          <w:rFonts w:cs="Arial" w:ascii="Arial" w:hAnsi="Arial"/>
          <w:spacing w:val="1"/>
          <w:sz w:val="20"/>
          <w:szCs w:val="20"/>
        </w:rPr>
        <w:t xml:space="preserve"> </w:t>
      </w:r>
      <w:r>
        <w:rPr>
          <w:rFonts w:cs="Arial" w:ascii="Arial" w:hAnsi="Arial"/>
          <w:sz w:val="20"/>
          <w:szCs w:val="20"/>
        </w:rPr>
        <w:t>manutenzione</w:t>
      </w:r>
      <w:r>
        <w:rPr>
          <w:rFonts w:cs="Arial" w:ascii="Arial" w:hAnsi="Arial"/>
          <w:spacing w:val="1"/>
          <w:sz w:val="20"/>
          <w:szCs w:val="20"/>
        </w:rPr>
        <w:t xml:space="preserve"> </w:t>
      </w:r>
      <w:r>
        <w:rPr>
          <w:rFonts w:cs="Arial" w:ascii="Arial" w:hAnsi="Arial"/>
          <w:sz w:val="20"/>
          <w:szCs w:val="20"/>
        </w:rPr>
        <w:t>ordinaria</w:t>
      </w:r>
      <w:r>
        <w:rPr>
          <w:rFonts w:cs="Arial" w:ascii="Arial" w:hAnsi="Arial"/>
          <w:spacing w:val="1"/>
          <w:sz w:val="20"/>
          <w:szCs w:val="20"/>
        </w:rPr>
        <w:t xml:space="preserve"> </w:t>
      </w:r>
      <w:r>
        <w:rPr>
          <w:rFonts w:cs="Arial" w:ascii="Arial" w:hAnsi="Arial"/>
          <w:sz w:val="20"/>
          <w:szCs w:val="20"/>
        </w:rPr>
        <w:t>d’importo</w:t>
      </w:r>
      <w:r>
        <w:rPr>
          <w:rFonts w:cs="Arial" w:ascii="Arial" w:hAnsi="Arial"/>
          <w:spacing w:val="1"/>
          <w:sz w:val="20"/>
          <w:szCs w:val="20"/>
        </w:rPr>
        <w:t xml:space="preserve"> </w:t>
      </w:r>
      <w:r>
        <w:rPr>
          <w:rFonts w:cs="Arial" w:ascii="Arial" w:hAnsi="Arial"/>
          <w:sz w:val="20"/>
          <w:szCs w:val="20"/>
        </w:rPr>
        <w:t>inferiore</w:t>
      </w:r>
      <w:r>
        <w:rPr>
          <w:rFonts w:cs="Arial" w:ascii="Arial" w:hAnsi="Arial"/>
          <w:spacing w:val="1"/>
          <w:sz w:val="20"/>
          <w:szCs w:val="20"/>
        </w:rPr>
        <w:t xml:space="preserve"> </w:t>
      </w:r>
      <w:r>
        <w:rPr>
          <w:rFonts w:cs="Arial" w:ascii="Arial" w:hAnsi="Arial"/>
          <w:sz w:val="20"/>
          <w:szCs w:val="20"/>
        </w:rPr>
        <w:t>a</w:t>
      </w:r>
      <w:r>
        <w:rPr>
          <w:rFonts w:cs="Arial" w:ascii="Arial" w:hAnsi="Arial"/>
          <w:spacing w:val="1"/>
          <w:sz w:val="20"/>
          <w:szCs w:val="20"/>
        </w:rPr>
        <w:t xml:space="preserve"> </w:t>
      </w:r>
      <w:r>
        <w:rPr>
          <w:rFonts w:cs="Arial" w:ascii="Arial" w:hAnsi="Arial"/>
          <w:sz w:val="20"/>
          <w:szCs w:val="20"/>
        </w:rPr>
        <w:t>1</w:t>
      </w:r>
      <w:r>
        <w:rPr>
          <w:rFonts w:cs="Arial" w:ascii="Arial" w:hAnsi="Arial"/>
          <w:spacing w:val="1"/>
          <w:sz w:val="20"/>
          <w:szCs w:val="20"/>
        </w:rPr>
        <w:t xml:space="preserve"> </w:t>
      </w:r>
      <w:r>
        <w:rPr>
          <w:rFonts w:cs="Arial" w:ascii="Arial" w:hAnsi="Arial"/>
          <w:sz w:val="20"/>
          <w:szCs w:val="20"/>
        </w:rPr>
        <w:t>milione</w:t>
      </w:r>
      <w:r>
        <w:rPr>
          <w:rFonts w:cs="Arial" w:ascii="Arial" w:hAnsi="Arial"/>
          <w:spacing w:val="1"/>
          <w:sz w:val="20"/>
          <w:szCs w:val="20"/>
        </w:rPr>
        <w:t xml:space="preserve"> </w:t>
      </w:r>
      <w:r>
        <w:rPr>
          <w:rFonts w:cs="Arial" w:ascii="Arial" w:hAnsi="Arial"/>
          <w:sz w:val="20"/>
          <w:szCs w:val="20"/>
        </w:rPr>
        <w:t>di</w:t>
      </w:r>
      <w:r>
        <w:rPr>
          <w:rFonts w:cs="Arial" w:ascii="Arial" w:hAnsi="Arial"/>
          <w:spacing w:val="1"/>
          <w:sz w:val="20"/>
          <w:szCs w:val="20"/>
        </w:rPr>
        <w:t xml:space="preserve"> </w:t>
      </w:r>
      <w:r>
        <w:rPr>
          <w:rFonts w:cs="Arial" w:ascii="Arial" w:hAnsi="Arial"/>
          <w:sz w:val="20"/>
          <w:szCs w:val="20"/>
        </w:rPr>
        <w:t>euro</w:t>
      </w:r>
      <w:r>
        <w:rPr>
          <w:rFonts w:cs="Arial" w:ascii="Arial" w:hAnsi="Arial"/>
          <w:spacing w:val="1"/>
          <w:sz w:val="20"/>
          <w:szCs w:val="20"/>
        </w:rPr>
        <w:t xml:space="preserve"> </w:t>
      </w:r>
      <w:r>
        <w:rPr>
          <w:rFonts w:cs="Arial" w:ascii="Arial" w:hAnsi="Arial"/>
          <w:sz w:val="20"/>
          <w:szCs w:val="20"/>
        </w:rPr>
        <w:t>mediante utilizzo autonomo degli strumenti telematici di negoziazione messi a</w:t>
      </w:r>
      <w:r>
        <w:rPr>
          <w:rFonts w:cs="Arial" w:ascii="Arial" w:hAnsi="Arial"/>
          <w:spacing w:val="1"/>
          <w:sz w:val="20"/>
          <w:szCs w:val="20"/>
        </w:rPr>
        <w:t xml:space="preserve"> </w:t>
      </w:r>
      <w:r>
        <w:rPr>
          <w:rFonts w:cs="Arial" w:ascii="Arial" w:hAnsi="Arial"/>
          <w:sz w:val="20"/>
          <w:szCs w:val="20"/>
        </w:rPr>
        <w:t>disposizione dalle centrali di committenza qualificate secondo la normativa</w:t>
      </w:r>
      <w:r>
        <w:rPr>
          <w:rFonts w:cs="Arial" w:ascii="Arial" w:hAnsi="Arial"/>
          <w:spacing w:val="1"/>
          <w:sz w:val="20"/>
          <w:szCs w:val="20"/>
        </w:rPr>
        <w:t xml:space="preserve"> </w:t>
      </w:r>
      <w:r>
        <w:rPr>
          <w:rFonts w:cs="Arial" w:ascii="Arial" w:hAnsi="Arial"/>
          <w:sz w:val="20"/>
          <w:szCs w:val="20"/>
        </w:rPr>
        <w:t>vigente;</w:t>
      </w:r>
    </w:p>
    <w:p>
      <w:pPr>
        <w:pStyle w:val="ListParagraph"/>
        <w:numPr>
          <w:ilvl w:val="0"/>
          <w:numId w:val="2"/>
        </w:numPr>
        <w:tabs>
          <w:tab w:val="clear" w:pos="720"/>
          <w:tab w:val="left" w:pos="142" w:leader="none"/>
        </w:tabs>
        <w:spacing w:lineRule="auto" w:line="360"/>
        <w:ind w:left="142" w:right="113" w:hanging="142"/>
        <w:rPr>
          <w:rFonts w:ascii="Arial" w:hAnsi="Arial" w:cs="Arial"/>
          <w:sz w:val="20"/>
          <w:szCs w:val="20"/>
        </w:rPr>
      </w:pPr>
      <w:r>
        <w:rPr>
          <w:rFonts w:cs="Arial" w:ascii="Arial" w:hAnsi="Arial"/>
          <w:sz w:val="20"/>
          <w:szCs w:val="20"/>
        </w:rPr>
        <w:t>all’art. 1, comma 1, lett. i), dell’allegato I.1 definisce la «centrale di committenza» come una stazione appaltante o un ente concedente che fornisce: “attività di centralizzazione delle committenze in favore di altre stazioni appaltanti o enti concedenti e, se del caso, attività di supporto all’attività di committenza”;</w:t>
      </w:r>
    </w:p>
    <w:p>
      <w:pPr>
        <w:pStyle w:val="ListParagraph"/>
        <w:numPr>
          <w:ilvl w:val="0"/>
          <w:numId w:val="2"/>
        </w:numPr>
        <w:tabs>
          <w:tab w:val="clear" w:pos="720"/>
          <w:tab w:val="left" w:pos="142" w:leader="none"/>
        </w:tabs>
        <w:spacing w:lineRule="auto" w:line="360"/>
        <w:ind w:left="142" w:right="113" w:hanging="142"/>
        <w:rPr>
          <w:rFonts w:ascii="Arial" w:hAnsi="Arial" w:cs="Arial"/>
          <w:sz w:val="20"/>
          <w:szCs w:val="20"/>
        </w:rPr>
      </w:pPr>
      <w:r>
        <w:rPr>
          <w:rFonts w:cs="Arial" w:ascii="Arial" w:hAnsi="Arial"/>
          <w:sz w:val="20"/>
          <w:szCs w:val="20"/>
        </w:rPr>
        <w:t>all’art. 62, comma 7, stabilisce che le centrali di committenza sono indicate</w:t>
      </w:r>
      <w:r>
        <w:rPr>
          <w:rFonts w:cs="Arial" w:ascii="Arial" w:hAnsi="Arial"/>
          <w:spacing w:val="1"/>
          <w:sz w:val="20"/>
          <w:szCs w:val="20"/>
        </w:rPr>
        <w:t xml:space="preserve"> </w:t>
      </w:r>
      <w:r>
        <w:rPr>
          <w:rFonts w:cs="Arial" w:ascii="Arial" w:hAnsi="Arial"/>
          <w:sz w:val="20"/>
          <w:szCs w:val="20"/>
        </w:rPr>
        <w:t>nella specifica sezione di cui all’articolo 63, comma 1 e che in relazione ai</w:t>
      </w:r>
      <w:r>
        <w:rPr>
          <w:rFonts w:cs="Arial" w:ascii="Arial" w:hAnsi="Arial"/>
          <w:spacing w:val="1"/>
          <w:sz w:val="20"/>
          <w:szCs w:val="20"/>
        </w:rPr>
        <w:t xml:space="preserve"> </w:t>
      </w:r>
      <w:r>
        <w:rPr>
          <w:rFonts w:cs="Arial" w:ascii="Arial" w:hAnsi="Arial"/>
          <w:sz w:val="20"/>
          <w:szCs w:val="20"/>
        </w:rPr>
        <w:t>requisiti</w:t>
      </w:r>
      <w:r>
        <w:rPr>
          <w:rFonts w:cs="Arial" w:ascii="Arial" w:hAnsi="Arial"/>
          <w:spacing w:val="1"/>
          <w:sz w:val="20"/>
          <w:szCs w:val="20"/>
        </w:rPr>
        <w:t xml:space="preserve"> </w:t>
      </w:r>
      <w:r>
        <w:rPr>
          <w:rFonts w:cs="Arial" w:ascii="Arial" w:hAnsi="Arial"/>
          <w:sz w:val="20"/>
          <w:szCs w:val="20"/>
        </w:rPr>
        <w:t>di qualificazione</w:t>
      </w:r>
      <w:r>
        <w:rPr>
          <w:rFonts w:cs="Arial" w:ascii="Arial" w:hAnsi="Arial"/>
          <w:spacing w:val="1"/>
          <w:sz w:val="20"/>
          <w:szCs w:val="20"/>
        </w:rPr>
        <w:t xml:space="preserve"> </w:t>
      </w:r>
      <w:r>
        <w:rPr>
          <w:rFonts w:cs="Arial" w:ascii="Arial" w:hAnsi="Arial"/>
          <w:sz w:val="20"/>
          <w:szCs w:val="20"/>
        </w:rPr>
        <w:t>posseduti</w:t>
      </w:r>
      <w:r>
        <w:rPr>
          <w:rFonts w:cs="Arial" w:ascii="Arial" w:hAnsi="Arial"/>
          <w:spacing w:val="1"/>
          <w:sz w:val="20"/>
          <w:szCs w:val="20"/>
        </w:rPr>
        <w:t xml:space="preserve"> </w:t>
      </w:r>
      <w:r>
        <w:rPr>
          <w:rFonts w:cs="Arial" w:ascii="Arial" w:hAnsi="Arial"/>
          <w:sz w:val="20"/>
          <w:szCs w:val="20"/>
        </w:rPr>
        <w:t>esse:</w:t>
      </w:r>
    </w:p>
    <w:p>
      <w:pPr>
        <w:pStyle w:val="ListParagraph"/>
        <w:numPr>
          <w:ilvl w:val="0"/>
          <w:numId w:val="19"/>
        </w:numPr>
        <w:tabs>
          <w:tab w:val="clear" w:pos="720"/>
          <w:tab w:val="left" w:pos="142" w:leader="none"/>
        </w:tabs>
        <w:spacing w:lineRule="auto" w:line="360"/>
        <w:ind w:left="862" w:right="113" w:hanging="360"/>
        <w:rPr>
          <w:rFonts w:ascii="Arial" w:hAnsi="Arial" w:cs="Arial"/>
          <w:sz w:val="20"/>
          <w:szCs w:val="20"/>
        </w:rPr>
      </w:pPr>
      <w:r>
        <w:rPr>
          <w:rFonts w:cs="Arial" w:ascii="Arial" w:hAnsi="Arial"/>
          <w:sz w:val="20"/>
          <w:szCs w:val="20"/>
        </w:rPr>
        <w:t>progettano, aggiudicano e stipulano contratti o accordi quadro per conto delle stazioni appaltanti non qualificate;</w:t>
      </w:r>
    </w:p>
    <w:p>
      <w:pPr>
        <w:pStyle w:val="ListParagraph"/>
        <w:numPr>
          <w:ilvl w:val="0"/>
          <w:numId w:val="19"/>
        </w:numPr>
        <w:tabs>
          <w:tab w:val="clear" w:pos="720"/>
          <w:tab w:val="left" w:pos="142" w:leader="none"/>
        </w:tabs>
        <w:spacing w:lineRule="auto" w:line="360"/>
        <w:ind w:left="862" w:right="113" w:hanging="360"/>
        <w:rPr>
          <w:rFonts w:ascii="Arial" w:hAnsi="Arial" w:cs="Arial"/>
          <w:sz w:val="20"/>
          <w:szCs w:val="20"/>
        </w:rPr>
      </w:pPr>
      <w:r>
        <w:rPr>
          <w:rFonts w:cs="Arial" w:ascii="Arial" w:hAnsi="Arial"/>
          <w:sz w:val="20"/>
          <w:szCs w:val="20"/>
        </w:rPr>
        <w:t>progettano, aggiudicano e stipulano contratti o accordi quadro per conto delle stazioni appaltanti qualificate;</w:t>
      </w:r>
    </w:p>
    <w:p>
      <w:pPr>
        <w:pStyle w:val="ListParagraph"/>
        <w:numPr>
          <w:ilvl w:val="0"/>
          <w:numId w:val="19"/>
        </w:numPr>
        <w:tabs>
          <w:tab w:val="clear" w:pos="720"/>
          <w:tab w:val="left" w:pos="142" w:leader="none"/>
        </w:tabs>
        <w:spacing w:lineRule="auto" w:line="360"/>
        <w:ind w:left="862" w:right="113" w:hanging="360"/>
        <w:rPr>
          <w:rFonts w:ascii="Arial" w:hAnsi="Arial" w:cs="Arial"/>
          <w:sz w:val="20"/>
          <w:szCs w:val="20"/>
        </w:rPr>
      </w:pPr>
      <w:r>
        <w:rPr>
          <w:rFonts w:cs="Arial" w:ascii="Arial" w:hAnsi="Arial"/>
          <w:sz w:val="20"/>
          <w:szCs w:val="20"/>
        </w:rPr>
        <w:t>progettano, aggiudicano e stipulano convenzioni e accordi quadro ai quali le stazioni appaltanti qualificate e non qualificate possono aderire per l’aggiudicazione di propri appalti specifici;</w:t>
      </w:r>
    </w:p>
    <w:p>
      <w:pPr>
        <w:pStyle w:val="ListParagraph"/>
        <w:numPr>
          <w:ilvl w:val="0"/>
          <w:numId w:val="19"/>
        </w:numPr>
        <w:tabs>
          <w:tab w:val="clear" w:pos="720"/>
          <w:tab w:val="left" w:pos="142" w:leader="none"/>
        </w:tabs>
        <w:spacing w:lineRule="auto" w:line="360"/>
        <w:ind w:left="862" w:right="113" w:hanging="360"/>
        <w:rPr>
          <w:rFonts w:ascii="Arial" w:hAnsi="Arial" w:cs="Arial"/>
          <w:sz w:val="20"/>
          <w:szCs w:val="20"/>
        </w:rPr>
      </w:pPr>
      <w:r>
        <w:rPr>
          <w:rFonts w:cs="Arial" w:ascii="Arial" w:hAnsi="Arial"/>
          <w:sz w:val="20"/>
          <w:szCs w:val="20"/>
        </w:rPr>
        <w:t>istituiscono e gestiscono sistemi dinamici di acquisizione e mercati elettronici di negoziazione;</w:t>
      </w:r>
    </w:p>
    <w:p>
      <w:pPr>
        <w:pStyle w:val="ListParagraph"/>
        <w:numPr>
          <w:ilvl w:val="0"/>
          <w:numId w:val="19"/>
        </w:numPr>
        <w:tabs>
          <w:tab w:val="clear" w:pos="720"/>
          <w:tab w:val="left" w:pos="142" w:leader="none"/>
        </w:tabs>
        <w:spacing w:lineRule="auto" w:line="360"/>
        <w:ind w:left="862" w:right="113" w:hanging="360"/>
        <w:rPr>
          <w:rFonts w:ascii="Arial" w:hAnsi="Arial" w:cs="Arial"/>
          <w:sz w:val="20"/>
          <w:szCs w:val="20"/>
        </w:rPr>
      </w:pPr>
      <w:r>
        <w:rPr>
          <w:rFonts w:cs="Arial" w:ascii="Arial" w:hAnsi="Arial"/>
          <w:sz w:val="20"/>
          <w:szCs w:val="20"/>
        </w:rPr>
        <w:t>eseguono i contratti per conto delle stazioni appaltanti non qualificate nelle ipotesi di cui al comma 6, lettera g);</w:t>
      </w:r>
    </w:p>
    <w:p>
      <w:pPr>
        <w:pStyle w:val="ListParagraph"/>
        <w:numPr>
          <w:ilvl w:val="0"/>
          <w:numId w:val="2"/>
        </w:numPr>
        <w:tabs>
          <w:tab w:val="clear" w:pos="720"/>
          <w:tab w:val="left" w:pos="142" w:leader="none"/>
        </w:tabs>
        <w:spacing w:lineRule="auto" w:line="360"/>
        <w:ind w:left="142" w:right="113" w:hanging="142"/>
        <w:rPr>
          <w:rFonts w:ascii="Arial" w:hAnsi="Arial" w:cs="Arial"/>
          <w:sz w:val="20"/>
          <w:szCs w:val="20"/>
        </w:rPr>
      </w:pPr>
      <w:r>
        <w:rPr>
          <w:rFonts w:cs="Arial" w:ascii="Arial" w:hAnsi="Arial"/>
          <w:sz w:val="20"/>
          <w:szCs w:val="20"/>
        </w:rPr>
        <w:t>all’art. 62, comma 7, stabilisce che le stazioni appaltanti non qualificate</w:t>
      </w:r>
      <w:r>
        <w:rPr>
          <w:rFonts w:cs="Arial" w:ascii="Arial" w:hAnsi="Arial"/>
          <w:spacing w:val="1"/>
          <w:sz w:val="20"/>
          <w:szCs w:val="20"/>
        </w:rPr>
        <w:t xml:space="preserve"> </w:t>
      </w:r>
      <w:r>
        <w:rPr>
          <w:rFonts w:cs="Arial" w:ascii="Arial" w:hAnsi="Arial"/>
          <w:sz w:val="20"/>
          <w:szCs w:val="20"/>
        </w:rPr>
        <w:t>consultano sul sito istituzionale dell’ANAC l’elenco delle stazioni appaltanti</w:t>
      </w:r>
      <w:r>
        <w:rPr>
          <w:rFonts w:cs="Arial" w:ascii="Arial" w:hAnsi="Arial"/>
          <w:spacing w:val="1"/>
          <w:sz w:val="20"/>
          <w:szCs w:val="20"/>
        </w:rPr>
        <w:t xml:space="preserve"> </w:t>
      </w:r>
      <w:r>
        <w:rPr>
          <w:rFonts w:cs="Arial" w:ascii="Arial" w:hAnsi="Arial"/>
          <w:sz w:val="20"/>
          <w:szCs w:val="20"/>
        </w:rPr>
        <w:t>qualificate e delle centrali di committenza qualificate. La domanda di svolgere</w:t>
      </w:r>
      <w:r>
        <w:rPr>
          <w:rFonts w:cs="Arial" w:ascii="Arial" w:hAnsi="Arial"/>
          <w:spacing w:val="1"/>
          <w:sz w:val="20"/>
          <w:szCs w:val="20"/>
        </w:rPr>
        <w:t xml:space="preserve"> </w:t>
      </w:r>
      <w:r>
        <w:rPr>
          <w:rFonts w:cs="Arial" w:ascii="Arial" w:hAnsi="Arial"/>
          <w:sz w:val="20"/>
          <w:szCs w:val="20"/>
        </w:rPr>
        <w:t>la procedura di gara, rivolta dalla stazione appaltante non qualificata ad una</w:t>
      </w:r>
      <w:r>
        <w:rPr>
          <w:rFonts w:cs="Arial" w:ascii="Arial" w:hAnsi="Arial"/>
          <w:spacing w:val="1"/>
          <w:sz w:val="20"/>
          <w:szCs w:val="20"/>
        </w:rPr>
        <w:t xml:space="preserve"> </w:t>
      </w:r>
      <w:r>
        <w:rPr>
          <w:rFonts w:cs="Arial" w:ascii="Arial" w:hAnsi="Arial"/>
          <w:sz w:val="20"/>
          <w:szCs w:val="20"/>
        </w:rPr>
        <w:t>stazione appaltante qualificata o ad una centrale di committenza qualificata, si</w:t>
      </w:r>
      <w:r>
        <w:rPr>
          <w:rFonts w:cs="Arial" w:ascii="Arial" w:hAnsi="Arial"/>
          <w:spacing w:val="1"/>
          <w:sz w:val="20"/>
          <w:szCs w:val="20"/>
        </w:rPr>
        <w:t xml:space="preserve"> </w:t>
      </w:r>
      <w:r>
        <w:rPr>
          <w:rFonts w:cs="Arial" w:ascii="Arial" w:hAnsi="Arial"/>
          <w:sz w:val="20"/>
          <w:szCs w:val="20"/>
        </w:rPr>
        <w:t>intende accolta se non riceve risposta negativa nel termine di dieci giorni dalla</w:t>
      </w:r>
      <w:r>
        <w:rPr>
          <w:rFonts w:cs="Arial" w:ascii="Arial" w:hAnsi="Arial"/>
          <w:spacing w:val="1"/>
          <w:sz w:val="20"/>
          <w:szCs w:val="20"/>
        </w:rPr>
        <w:t xml:space="preserve"> </w:t>
      </w:r>
      <w:r>
        <w:rPr>
          <w:rFonts w:cs="Arial" w:ascii="Arial" w:hAnsi="Arial"/>
          <w:sz w:val="20"/>
          <w:szCs w:val="20"/>
        </w:rPr>
        <w:t>sua</w:t>
      </w:r>
      <w:r>
        <w:rPr>
          <w:rFonts w:cs="Arial" w:ascii="Arial" w:hAnsi="Arial"/>
          <w:spacing w:val="1"/>
          <w:sz w:val="20"/>
          <w:szCs w:val="20"/>
        </w:rPr>
        <w:t xml:space="preserve"> </w:t>
      </w:r>
      <w:r>
        <w:rPr>
          <w:rFonts w:cs="Arial" w:ascii="Arial" w:hAnsi="Arial"/>
          <w:sz w:val="20"/>
          <w:szCs w:val="20"/>
        </w:rPr>
        <w:t>ricezione.</w:t>
      </w:r>
      <w:r>
        <w:rPr>
          <w:rFonts w:cs="Arial" w:ascii="Arial" w:hAnsi="Arial"/>
          <w:spacing w:val="1"/>
          <w:sz w:val="20"/>
          <w:szCs w:val="20"/>
        </w:rPr>
        <w:t xml:space="preserve"> </w:t>
      </w:r>
      <w:r>
        <w:rPr>
          <w:rFonts w:cs="Arial" w:ascii="Arial" w:hAnsi="Arial"/>
          <w:sz w:val="20"/>
          <w:szCs w:val="20"/>
        </w:rPr>
        <w:t>In</w:t>
      </w:r>
      <w:r>
        <w:rPr>
          <w:rFonts w:cs="Arial" w:ascii="Arial" w:hAnsi="Arial"/>
          <w:spacing w:val="1"/>
          <w:sz w:val="20"/>
          <w:szCs w:val="20"/>
        </w:rPr>
        <w:t xml:space="preserve"> </w:t>
      </w:r>
      <w:r>
        <w:rPr>
          <w:rFonts w:cs="Arial" w:ascii="Arial" w:hAnsi="Arial"/>
          <w:sz w:val="20"/>
          <w:szCs w:val="20"/>
        </w:rPr>
        <w:t>caso</w:t>
      </w:r>
      <w:r>
        <w:rPr>
          <w:rFonts w:cs="Arial" w:ascii="Arial" w:hAnsi="Arial"/>
          <w:spacing w:val="1"/>
          <w:sz w:val="20"/>
          <w:szCs w:val="20"/>
        </w:rPr>
        <w:t xml:space="preserve"> </w:t>
      </w:r>
      <w:r>
        <w:rPr>
          <w:rFonts w:cs="Arial" w:ascii="Arial" w:hAnsi="Arial"/>
          <w:sz w:val="20"/>
          <w:szCs w:val="20"/>
        </w:rPr>
        <w:t>di</w:t>
      </w:r>
      <w:r>
        <w:rPr>
          <w:rFonts w:cs="Arial" w:ascii="Arial" w:hAnsi="Arial"/>
          <w:spacing w:val="1"/>
          <w:sz w:val="20"/>
          <w:szCs w:val="20"/>
        </w:rPr>
        <w:t xml:space="preserve"> </w:t>
      </w:r>
      <w:r>
        <w:rPr>
          <w:rFonts w:cs="Arial" w:ascii="Arial" w:hAnsi="Arial"/>
          <w:sz w:val="20"/>
          <w:szCs w:val="20"/>
        </w:rPr>
        <w:t>risposta</w:t>
      </w:r>
      <w:r>
        <w:rPr>
          <w:rFonts w:cs="Arial" w:ascii="Arial" w:hAnsi="Arial"/>
          <w:spacing w:val="1"/>
          <w:sz w:val="20"/>
          <w:szCs w:val="20"/>
        </w:rPr>
        <w:t xml:space="preserve"> </w:t>
      </w:r>
      <w:r>
        <w:rPr>
          <w:rFonts w:cs="Arial" w:ascii="Arial" w:hAnsi="Arial"/>
          <w:sz w:val="20"/>
          <w:szCs w:val="20"/>
        </w:rPr>
        <w:t>negativa.</w:t>
      </w:r>
      <w:r>
        <w:rPr>
          <w:rFonts w:cs="Arial" w:ascii="Arial" w:hAnsi="Arial"/>
          <w:spacing w:val="1"/>
          <w:sz w:val="20"/>
          <w:szCs w:val="20"/>
        </w:rPr>
        <w:t xml:space="preserve"> </w:t>
      </w:r>
      <w:r>
        <w:rPr>
          <w:rFonts w:cs="Arial" w:ascii="Arial" w:hAnsi="Arial"/>
          <w:sz w:val="20"/>
          <w:szCs w:val="20"/>
        </w:rPr>
        <w:t>La</w:t>
      </w:r>
      <w:r>
        <w:rPr>
          <w:rFonts w:cs="Arial" w:ascii="Arial" w:hAnsi="Arial"/>
          <w:spacing w:val="1"/>
          <w:sz w:val="20"/>
          <w:szCs w:val="20"/>
        </w:rPr>
        <w:t xml:space="preserve"> </w:t>
      </w:r>
      <w:r>
        <w:rPr>
          <w:rFonts w:cs="Arial" w:ascii="Arial" w:hAnsi="Arial"/>
          <w:sz w:val="20"/>
          <w:szCs w:val="20"/>
        </w:rPr>
        <w:t>stazione</w:t>
      </w:r>
      <w:r>
        <w:rPr>
          <w:rFonts w:cs="Arial" w:ascii="Arial" w:hAnsi="Arial"/>
          <w:spacing w:val="1"/>
          <w:sz w:val="20"/>
          <w:szCs w:val="20"/>
        </w:rPr>
        <w:t xml:space="preserve"> </w:t>
      </w:r>
      <w:r>
        <w:rPr>
          <w:rFonts w:cs="Arial" w:ascii="Arial" w:hAnsi="Arial"/>
          <w:sz w:val="20"/>
          <w:szCs w:val="20"/>
        </w:rPr>
        <w:t>appaltante</w:t>
      </w:r>
      <w:r>
        <w:rPr>
          <w:rFonts w:cs="Arial" w:ascii="Arial" w:hAnsi="Arial"/>
          <w:spacing w:val="1"/>
          <w:sz w:val="20"/>
          <w:szCs w:val="20"/>
        </w:rPr>
        <w:t xml:space="preserve"> </w:t>
      </w:r>
      <w:r>
        <w:rPr>
          <w:rFonts w:cs="Arial" w:ascii="Arial" w:hAnsi="Arial"/>
          <w:sz w:val="20"/>
          <w:szCs w:val="20"/>
        </w:rPr>
        <w:t>non</w:t>
      </w:r>
      <w:r>
        <w:rPr>
          <w:rFonts w:cs="Arial" w:ascii="Arial" w:hAnsi="Arial"/>
          <w:spacing w:val="1"/>
          <w:sz w:val="20"/>
          <w:szCs w:val="20"/>
        </w:rPr>
        <w:t xml:space="preserve"> </w:t>
      </w:r>
      <w:r>
        <w:rPr>
          <w:rFonts w:cs="Arial" w:ascii="Arial" w:hAnsi="Arial"/>
          <w:sz w:val="20"/>
          <w:szCs w:val="20"/>
        </w:rPr>
        <w:t>qualificata</w:t>
      </w:r>
      <w:r>
        <w:rPr>
          <w:rFonts w:cs="Arial" w:ascii="Arial" w:hAnsi="Arial"/>
          <w:spacing w:val="1"/>
          <w:sz w:val="20"/>
          <w:szCs w:val="20"/>
        </w:rPr>
        <w:t xml:space="preserve"> </w:t>
      </w:r>
      <w:r>
        <w:rPr>
          <w:rFonts w:cs="Arial" w:ascii="Arial" w:hAnsi="Arial"/>
          <w:sz w:val="20"/>
          <w:szCs w:val="20"/>
        </w:rPr>
        <w:t>si</w:t>
      </w:r>
      <w:r>
        <w:rPr>
          <w:rFonts w:cs="Arial" w:ascii="Arial" w:hAnsi="Arial"/>
          <w:spacing w:val="1"/>
          <w:sz w:val="20"/>
          <w:szCs w:val="20"/>
        </w:rPr>
        <w:t xml:space="preserve"> </w:t>
      </w:r>
      <w:r>
        <w:rPr>
          <w:rFonts w:cs="Arial" w:ascii="Arial" w:hAnsi="Arial"/>
          <w:sz w:val="20"/>
          <w:szCs w:val="20"/>
        </w:rPr>
        <w:t>rivolge</w:t>
      </w:r>
      <w:r>
        <w:rPr>
          <w:rFonts w:cs="Arial" w:ascii="Arial" w:hAnsi="Arial"/>
          <w:spacing w:val="1"/>
          <w:sz w:val="20"/>
          <w:szCs w:val="20"/>
        </w:rPr>
        <w:t xml:space="preserve"> </w:t>
      </w:r>
      <w:r>
        <w:rPr>
          <w:rFonts w:cs="Arial" w:ascii="Arial" w:hAnsi="Arial"/>
          <w:sz w:val="20"/>
          <w:szCs w:val="20"/>
        </w:rPr>
        <w:t>all’ANAC,</w:t>
      </w:r>
      <w:r>
        <w:rPr>
          <w:rFonts w:cs="Arial" w:ascii="Arial" w:hAnsi="Arial"/>
          <w:spacing w:val="1"/>
          <w:sz w:val="20"/>
          <w:szCs w:val="20"/>
        </w:rPr>
        <w:t xml:space="preserve"> </w:t>
      </w:r>
      <w:r>
        <w:rPr>
          <w:rFonts w:cs="Arial" w:ascii="Arial" w:hAnsi="Arial"/>
          <w:sz w:val="20"/>
          <w:szCs w:val="20"/>
        </w:rPr>
        <w:t>che</w:t>
      </w:r>
      <w:r>
        <w:rPr>
          <w:rFonts w:cs="Arial" w:ascii="Arial" w:hAnsi="Arial"/>
          <w:spacing w:val="1"/>
          <w:sz w:val="20"/>
          <w:szCs w:val="20"/>
        </w:rPr>
        <w:t xml:space="preserve"> </w:t>
      </w:r>
      <w:r>
        <w:rPr>
          <w:rFonts w:cs="Arial" w:ascii="Arial" w:hAnsi="Arial"/>
          <w:sz w:val="20"/>
          <w:szCs w:val="20"/>
        </w:rPr>
        <w:t>provvede</w:t>
      </w:r>
      <w:r>
        <w:rPr>
          <w:rFonts w:cs="Arial" w:ascii="Arial" w:hAnsi="Arial"/>
          <w:spacing w:val="1"/>
          <w:sz w:val="20"/>
          <w:szCs w:val="20"/>
        </w:rPr>
        <w:t xml:space="preserve"> </w:t>
      </w:r>
      <w:r>
        <w:rPr>
          <w:rFonts w:cs="Arial" w:ascii="Arial" w:hAnsi="Arial"/>
          <w:sz w:val="20"/>
          <w:szCs w:val="20"/>
        </w:rPr>
        <w:t>entro</w:t>
      </w:r>
      <w:r>
        <w:rPr>
          <w:rFonts w:cs="Arial" w:ascii="Arial" w:hAnsi="Arial"/>
          <w:spacing w:val="1"/>
          <w:sz w:val="20"/>
          <w:szCs w:val="20"/>
        </w:rPr>
        <w:t xml:space="preserve"> </w:t>
      </w:r>
      <w:r>
        <w:rPr>
          <w:rFonts w:cs="Arial" w:ascii="Arial" w:hAnsi="Arial"/>
          <w:sz w:val="20"/>
          <w:szCs w:val="20"/>
        </w:rPr>
        <w:t>quindici</w:t>
      </w:r>
      <w:r>
        <w:rPr>
          <w:rFonts w:cs="Arial" w:ascii="Arial" w:hAnsi="Arial"/>
          <w:spacing w:val="1"/>
          <w:sz w:val="20"/>
          <w:szCs w:val="20"/>
        </w:rPr>
        <w:t xml:space="preserve"> </w:t>
      </w:r>
      <w:r>
        <w:rPr>
          <w:rFonts w:cs="Arial" w:ascii="Arial" w:hAnsi="Arial"/>
          <w:sz w:val="20"/>
          <w:szCs w:val="20"/>
        </w:rPr>
        <w:t>giorni</w:t>
      </w:r>
      <w:r>
        <w:rPr>
          <w:rFonts w:cs="Arial" w:ascii="Arial" w:hAnsi="Arial"/>
          <w:spacing w:val="1"/>
          <w:sz w:val="20"/>
          <w:szCs w:val="20"/>
        </w:rPr>
        <w:t xml:space="preserve"> </w:t>
      </w:r>
      <w:r>
        <w:rPr>
          <w:rFonts w:cs="Arial" w:ascii="Arial" w:hAnsi="Arial"/>
          <w:sz w:val="20"/>
          <w:szCs w:val="20"/>
        </w:rPr>
        <w:t>all’assegnazione d’ufficio della richiesta a una stazione appaltante qualificata o</w:t>
      </w:r>
      <w:r>
        <w:rPr>
          <w:rFonts w:cs="Arial" w:ascii="Arial" w:hAnsi="Arial"/>
          <w:spacing w:val="1"/>
          <w:sz w:val="20"/>
          <w:szCs w:val="20"/>
        </w:rPr>
        <w:t xml:space="preserve"> </w:t>
      </w:r>
      <w:r>
        <w:rPr>
          <w:rFonts w:cs="Arial" w:ascii="Arial" w:hAnsi="Arial"/>
          <w:sz w:val="20"/>
          <w:szCs w:val="20"/>
        </w:rPr>
        <w:t>a una centrale di committenza qualificata, individuata sulla base delle fasce di qualificazione di cui all’articolo 63, comma 2;</w:t>
      </w:r>
    </w:p>
    <w:p>
      <w:pPr>
        <w:pStyle w:val="ListParagraph"/>
        <w:numPr>
          <w:ilvl w:val="0"/>
          <w:numId w:val="2"/>
        </w:numPr>
        <w:tabs>
          <w:tab w:val="clear" w:pos="720"/>
          <w:tab w:val="left" w:pos="142" w:leader="none"/>
        </w:tabs>
        <w:spacing w:lineRule="auto" w:line="360"/>
        <w:ind w:left="142" w:right="113" w:hanging="142"/>
        <w:rPr>
          <w:rFonts w:ascii="Arial" w:hAnsi="Arial" w:cs="Arial"/>
          <w:sz w:val="20"/>
          <w:szCs w:val="20"/>
        </w:rPr>
      </w:pPr>
      <w:r>
        <w:rPr>
          <w:rFonts w:cs="Arial" w:ascii="Arial" w:hAnsi="Arial"/>
          <w:sz w:val="20"/>
          <w:szCs w:val="20"/>
        </w:rPr>
        <w:t>all’art.</w:t>
      </w:r>
      <w:r>
        <w:rPr>
          <w:rFonts w:cs="Arial" w:ascii="Arial" w:hAnsi="Arial"/>
          <w:spacing w:val="65"/>
          <w:sz w:val="20"/>
          <w:szCs w:val="20"/>
        </w:rPr>
        <w:t xml:space="preserve"> </w:t>
      </w:r>
      <w:r>
        <w:rPr>
          <w:rFonts w:cs="Arial" w:ascii="Arial" w:hAnsi="Arial"/>
          <w:sz w:val="20"/>
          <w:szCs w:val="20"/>
        </w:rPr>
        <w:t>62,</w:t>
      </w:r>
      <w:r>
        <w:rPr>
          <w:rFonts w:cs="Arial" w:ascii="Arial" w:hAnsi="Arial"/>
          <w:spacing w:val="134"/>
          <w:sz w:val="20"/>
          <w:szCs w:val="20"/>
        </w:rPr>
        <w:t xml:space="preserve"> </w:t>
      </w:r>
      <w:r>
        <w:rPr>
          <w:rFonts w:cs="Arial" w:ascii="Arial" w:hAnsi="Arial"/>
          <w:sz w:val="20"/>
          <w:szCs w:val="20"/>
        </w:rPr>
        <w:t>comma</w:t>
      </w:r>
      <w:r>
        <w:rPr>
          <w:rFonts w:cs="Arial" w:ascii="Arial" w:hAnsi="Arial"/>
          <w:spacing w:val="134"/>
          <w:sz w:val="20"/>
          <w:szCs w:val="20"/>
        </w:rPr>
        <w:t xml:space="preserve"> </w:t>
      </w:r>
      <w:r>
        <w:rPr>
          <w:rFonts w:cs="Arial" w:ascii="Arial" w:hAnsi="Arial"/>
          <w:sz w:val="20"/>
          <w:szCs w:val="20"/>
        </w:rPr>
        <w:t>18,</w:t>
      </w:r>
      <w:r>
        <w:rPr>
          <w:rFonts w:cs="Arial" w:ascii="Arial" w:hAnsi="Arial"/>
          <w:spacing w:val="134"/>
          <w:sz w:val="20"/>
          <w:szCs w:val="20"/>
        </w:rPr>
        <w:t xml:space="preserve"> </w:t>
      </w:r>
      <w:r>
        <w:rPr>
          <w:rFonts w:cs="Arial" w:ascii="Arial" w:hAnsi="Arial"/>
          <w:sz w:val="20"/>
          <w:szCs w:val="20"/>
        </w:rPr>
        <w:t>prevede</w:t>
      </w:r>
      <w:r>
        <w:rPr>
          <w:rFonts w:cs="Arial" w:ascii="Arial" w:hAnsi="Arial"/>
          <w:spacing w:val="134"/>
          <w:sz w:val="20"/>
          <w:szCs w:val="20"/>
        </w:rPr>
        <w:t xml:space="preserve"> </w:t>
      </w:r>
      <w:r>
        <w:rPr>
          <w:rFonts w:cs="Arial" w:ascii="Arial" w:hAnsi="Arial"/>
          <w:sz w:val="20"/>
          <w:szCs w:val="20"/>
        </w:rPr>
        <w:t>che,</w:t>
      </w:r>
      <w:r>
        <w:rPr>
          <w:rFonts w:cs="Arial" w:ascii="Arial" w:hAnsi="Arial"/>
          <w:spacing w:val="136"/>
          <w:sz w:val="20"/>
          <w:szCs w:val="20"/>
        </w:rPr>
        <w:t xml:space="preserve"> </w:t>
      </w:r>
      <w:r>
        <w:rPr>
          <w:rFonts w:cs="Arial" w:ascii="Arial" w:hAnsi="Arial"/>
          <w:sz w:val="20"/>
          <w:szCs w:val="20"/>
        </w:rPr>
        <w:t>la</w:t>
      </w:r>
      <w:r>
        <w:rPr>
          <w:rFonts w:cs="Arial" w:ascii="Arial" w:hAnsi="Arial"/>
          <w:spacing w:val="134"/>
          <w:sz w:val="20"/>
          <w:szCs w:val="20"/>
        </w:rPr>
        <w:t xml:space="preserve"> </w:t>
      </w:r>
      <w:r>
        <w:rPr>
          <w:rFonts w:cs="Arial" w:ascii="Arial" w:hAnsi="Arial"/>
          <w:sz w:val="20"/>
          <w:szCs w:val="20"/>
        </w:rPr>
        <w:t>progettazione,</w:t>
      </w:r>
      <w:r>
        <w:rPr>
          <w:rFonts w:cs="Arial" w:ascii="Arial" w:hAnsi="Arial"/>
          <w:spacing w:val="136"/>
          <w:sz w:val="20"/>
          <w:szCs w:val="20"/>
        </w:rPr>
        <w:t xml:space="preserve"> </w:t>
      </w:r>
      <w:r>
        <w:rPr>
          <w:rFonts w:cs="Arial" w:ascii="Arial" w:hAnsi="Arial"/>
          <w:sz w:val="20"/>
          <w:szCs w:val="20"/>
        </w:rPr>
        <w:t>l’affidamento</w:t>
      </w:r>
      <w:r>
        <w:rPr>
          <w:rFonts w:cs="Arial" w:ascii="Arial" w:hAnsi="Arial"/>
          <w:spacing w:val="134"/>
          <w:sz w:val="20"/>
          <w:szCs w:val="20"/>
        </w:rPr>
        <w:t xml:space="preserve"> </w:t>
      </w:r>
      <w:r>
        <w:rPr>
          <w:rFonts w:cs="Arial" w:ascii="Arial" w:hAnsi="Arial"/>
          <w:sz w:val="20"/>
          <w:szCs w:val="20"/>
        </w:rPr>
        <w:t>e l’esecuzione di contratti di partenariato pubblico-privato possono essere svolti</w:t>
      </w:r>
      <w:r>
        <w:rPr>
          <w:rFonts w:cs="Arial" w:ascii="Arial" w:hAnsi="Arial"/>
          <w:spacing w:val="1"/>
          <w:sz w:val="20"/>
          <w:szCs w:val="20"/>
        </w:rPr>
        <w:t xml:space="preserve"> </w:t>
      </w:r>
      <w:r>
        <w:rPr>
          <w:rFonts w:cs="Arial" w:ascii="Arial" w:hAnsi="Arial"/>
          <w:sz w:val="20"/>
          <w:szCs w:val="20"/>
        </w:rPr>
        <w:t>da soggetti qualificati per i livelli di cui all’ articolo 63, comma 2, lettere b) e</w:t>
      </w:r>
      <w:r>
        <w:rPr>
          <w:rFonts w:cs="Arial" w:ascii="Arial" w:hAnsi="Arial"/>
          <w:spacing w:val="1"/>
          <w:sz w:val="20"/>
          <w:szCs w:val="20"/>
        </w:rPr>
        <w:t xml:space="preserve"> </w:t>
      </w:r>
      <w:r>
        <w:rPr>
          <w:rFonts w:cs="Arial" w:ascii="Arial" w:hAnsi="Arial"/>
          <w:sz w:val="20"/>
          <w:szCs w:val="20"/>
        </w:rPr>
        <w:t>c);</w:t>
      </w:r>
    </w:p>
    <w:p>
      <w:pPr>
        <w:pStyle w:val="ListParagraph"/>
        <w:numPr>
          <w:ilvl w:val="0"/>
          <w:numId w:val="2"/>
        </w:numPr>
        <w:tabs>
          <w:tab w:val="clear" w:pos="720"/>
          <w:tab w:val="left" w:pos="142" w:leader="none"/>
        </w:tabs>
        <w:spacing w:lineRule="auto" w:line="360"/>
        <w:ind w:left="142" w:right="113" w:hanging="142"/>
        <w:rPr>
          <w:rFonts w:ascii="Arial" w:hAnsi="Arial" w:cs="Arial"/>
          <w:sz w:val="20"/>
          <w:szCs w:val="20"/>
        </w:rPr>
      </w:pPr>
      <w:r>
        <w:rPr>
          <w:rFonts w:cs="Arial" w:ascii="Arial" w:hAnsi="Arial"/>
          <w:sz w:val="20"/>
          <w:szCs w:val="20"/>
        </w:rPr>
        <w:t>all’art.</w:t>
      </w:r>
      <w:r>
        <w:rPr>
          <w:rFonts w:cs="Arial" w:ascii="Arial" w:hAnsi="Arial"/>
          <w:spacing w:val="1"/>
          <w:sz w:val="20"/>
          <w:szCs w:val="20"/>
        </w:rPr>
        <w:t xml:space="preserve"> </w:t>
      </w:r>
      <w:r>
        <w:rPr>
          <w:rFonts w:cs="Arial" w:ascii="Arial" w:hAnsi="Arial"/>
          <w:sz w:val="20"/>
          <w:szCs w:val="20"/>
        </w:rPr>
        <w:t>3,</w:t>
      </w:r>
      <w:r>
        <w:rPr>
          <w:rFonts w:cs="Arial" w:ascii="Arial" w:hAnsi="Arial"/>
          <w:spacing w:val="1"/>
          <w:sz w:val="20"/>
          <w:szCs w:val="20"/>
        </w:rPr>
        <w:t xml:space="preserve"> </w:t>
      </w:r>
      <w:r>
        <w:rPr>
          <w:rFonts w:cs="Arial" w:ascii="Arial" w:hAnsi="Arial"/>
          <w:sz w:val="20"/>
          <w:szCs w:val="20"/>
        </w:rPr>
        <w:t>comma</w:t>
      </w:r>
      <w:r>
        <w:rPr>
          <w:rFonts w:cs="Arial" w:ascii="Arial" w:hAnsi="Arial"/>
          <w:spacing w:val="1"/>
          <w:sz w:val="20"/>
          <w:szCs w:val="20"/>
        </w:rPr>
        <w:t xml:space="preserve"> </w:t>
      </w:r>
      <w:r>
        <w:rPr>
          <w:rFonts w:cs="Arial" w:ascii="Arial" w:hAnsi="Arial"/>
          <w:sz w:val="20"/>
          <w:szCs w:val="20"/>
        </w:rPr>
        <w:t>5,</w:t>
      </w:r>
      <w:r>
        <w:rPr>
          <w:rFonts w:cs="Arial" w:ascii="Arial" w:hAnsi="Arial"/>
          <w:spacing w:val="1"/>
          <w:sz w:val="20"/>
          <w:szCs w:val="20"/>
        </w:rPr>
        <w:t xml:space="preserve"> </w:t>
      </w:r>
      <w:r>
        <w:rPr>
          <w:rFonts w:cs="Arial" w:ascii="Arial" w:hAnsi="Arial"/>
          <w:sz w:val="20"/>
          <w:szCs w:val="20"/>
        </w:rPr>
        <w:t>e</w:t>
      </w:r>
      <w:r>
        <w:rPr>
          <w:rFonts w:cs="Arial" w:ascii="Arial" w:hAnsi="Arial"/>
          <w:spacing w:val="1"/>
          <w:sz w:val="20"/>
          <w:szCs w:val="20"/>
        </w:rPr>
        <w:t xml:space="preserve"> </w:t>
      </w:r>
      <w:r>
        <w:rPr>
          <w:rFonts w:cs="Arial" w:ascii="Arial" w:hAnsi="Arial"/>
          <w:sz w:val="20"/>
          <w:szCs w:val="20"/>
        </w:rPr>
        <w:t>all’art.</w:t>
      </w:r>
      <w:r>
        <w:rPr>
          <w:rFonts w:cs="Arial" w:ascii="Arial" w:hAnsi="Arial"/>
          <w:spacing w:val="1"/>
          <w:sz w:val="20"/>
          <w:szCs w:val="20"/>
        </w:rPr>
        <w:t xml:space="preserve"> </w:t>
      </w:r>
      <w:r>
        <w:rPr>
          <w:rFonts w:cs="Arial" w:ascii="Arial" w:hAnsi="Arial"/>
          <w:sz w:val="20"/>
          <w:szCs w:val="20"/>
        </w:rPr>
        <w:t>5,</w:t>
      </w:r>
      <w:r>
        <w:rPr>
          <w:rFonts w:cs="Arial" w:ascii="Arial" w:hAnsi="Arial"/>
          <w:spacing w:val="1"/>
          <w:sz w:val="20"/>
          <w:szCs w:val="20"/>
        </w:rPr>
        <w:t xml:space="preserve"> </w:t>
      </w:r>
      <w:r>
        <w:rPr>
          <w:rFonts w:cs="Arial" w:ascii="Arial" w:hAnsi="Arial"/>
          <w:sz w:val="20"/>
          <w:szCs w:val="20"/>
        </w:rPr>
        <w:t>comma</w:t>
      </w:r>
      <w:r>
        <w:rPr>
          <w:rFonts w:cs="Arial" w:ascii="Arial" w:hAnsi="Arial"/>
          <w:spacing w:val="1"/>
          <w:sz w:val="20"/>
          <w:szCs w:val="20"/>
        </w:rPr>
        <w:t xml:space="preserve"> </w:t>
      </w:r>
      <w:r>
        <w:rPr>
          <w:rFonts w:cs="Arial" w:ascii="Arial" w:hAnsi="Arial"/>
          <w:sz w:val="20"/>
          <w:szCs w:val="20"/>
        </w:rPr>
        <w:t>5,</w:t>
      </w:r>
      <w:r>
        <w:rPr>
          <w:rFonts w:cs="Arial" w:ascii="Arial" w:hAnsi="Arial"/>
          <w:spacing w:val="1"/>
          <w:sz w:val="20"/>
          <w:szCs w:val="20"/>
        </w:rPr>
        <w:t xml:space="preserve"> </w:t>
      </w:r>
      <w:r>
        <w:rPr>
          <w:rFonts w:cs="Arial" w:ascii="Arial" w:hAnsi="Arial"/>
          <w:sz w:val="20"/>
          <w:szCs w:val="20"/>
        </w:rPr>
        <w:t>dell’allegato</w:t>
      </w:r>
      <w:r>
        <w:rPr>
          <w:rFonts w:cs="Arial" w:ascii="Arial" w:hAnsi="Arial"/>
          <w:spacing w:val="1"/>
          <w:sz w:val="20"/>
          <w:szCs w:val="20"/>
        </w:rPr>
        <w:t xml:space="preserve"> </w:t>
      </w:r>
      <w:r>
        <w:rPr>
          <w:rFonts w:cs="Arial" w:ascii="Arial" w:hAnsi="Arial"/>
          <w:sz w:val="20"/>
          <w:szCs w:val="20"/>
        </w:rPr>
        <w:t>II.4</w:t>
      </w:r>
      <w:r>
        <w:rPr>
          <w:rFonts w:cs="Arial" w:ascii="Arial" w:hAnsi="Arial"/>
          <w:spacing w:val="1"/>
          <w:sz w:val="20"/>
          <w:szCs w:val="20"/>
        </w:rPr>
        <w:t xml:space="preserve"> </w:t>
      </w:r>
      <w:r>
        <w:rPr>
          <w:rFonts w:cs="Arial" w:ascii="Arial" w:hAnsi="Arial"/>
          <w:sz w:val="20"/>
          <w:szCs w:val="20"/>
        </w:rPr>
        <w:t>stabilisce,</w:t>
      </w:r>
      <w:r>
        <w:rPr>
          <w:rFonts w:cs="Arial" w:ascii="Arial" w:hAnsi="Arial"/>
          <w:spacing w:val="1"/>
          <w:sz w:val="20"/>
          <w:szCs w:val="20"/>
        </w:rPr>
        <w:t xml:space="preserve"> </w:t>
      </w:r>
      <w:r>
        <w:rPr>
          <w:rFonts w:cs="Arial" w:ascii="Arial" w:hAnsi="Arial"/>
          <w:sz w:val="20"/>
          <w:szCs w:val="20"/>
        </w:rPr>
        <w:t>rispettivamente</w:t>
      </w:r>
      <w:r>
        <w:rPr>
          <w:rFonts w:cs="Arial" w:ascii="Arial" w:hAnsi="Arial"/>
          <w:spacing w:val="1"/>
          <w:sz w:val="20"/>
          <w:szCs w:val="20"/>
        </w:rPr>
        <w:t xml:space="preserve"> </w:t>
      </w:r>
      <w:r>
        <w:rPr>
          <w:rFonts w:cs="Arial" w:ascii="Arial" w:hAnsi="Arial"/>
          <w:sz w:val="20"/>
          <w:szCs w:val="20"/>
        </w:rPr>
        <w:t>per</w:t>
      </w:r>
      <w:r>
        <w:rPr>
          <w:rFonts w:cs="Arial" w:ascii="Arial" w:hAnsi="Arial"/>
          <w:spacing w:val="1"/>
          <w:sz w:val="20"/>
          <w:szCs w:val="20"/>
        </w:rPr>
        <w:t xml:space="preserve"> </w:t>
      </w:r>
      <w:r>
        <w:rPr>
          <w:rFonts w:cs="Arial" w:ascii="Arial" w:hAnsi="Arial"/>
          <w:sz w:val="20"/>
          <w:szCs w:val="20"/>
        </w:rPr>
        <w:t>lavori</w:t>
      </w:r>
      <w:r>
        <w:rPr>
          <w:rFonts w:cs="Arial" w:ascii="Arial" w:hAnsi="Arial"/>
          <w:spacing w:val="1"/>
          <w:sz w:val="20"/>
          <w:szCs w:val="20"/>
        </w:rPr>
        <w:t xml:space="preserve"> </w:t>
      </w:r>
      <w:r>
        <w:rPr>
          <w:rFonts w:cs="Arial" w:ascii="Arial" w:hAnsi="Arial"/>
          <w:sz w:val="20"/>
          <w:szCs w:val="20"/>
        </w:rPr>
        <w:t>e</w:t>
      </w:r>
      <w:r>
        <w:rPr>
          <w:rFonts w:cs="Arial" w:ascii="Arial" w:hAnsi="Arial"/>
          <w:spacing w:val="1"/>
          <w:sz w:val="20"/>
          <w:szCs w:val="20"/>
        </w:rPr>
        <w:t xml:space="preserve"> </w:t>
      </w:r>
      <w:r>
        <w:rPr>
          <w:rFonts w:cs="Arial" w:ascii="Arial" w:hAnsi="Arial"/>
          <w:sz w:val="20"/>
          <w:szCs w:val="20"/>
        </w:rPr>
        <w:t>servizi,</w:t>
      </w:r>
      <w:r>
        <w:rPr>
          <w:rFonts w:cs="Arial" w:ascii="Arial" w:hAnsi="Arial"/>
          <w:spacing w:val="1"/>
          <w:sz w:val="20"/>
          <w:szCs w:val="20"/>
        </w:rPr>
        <w:t xml:space="preserve"> </w:t>
      </w:r>
      <w:r>
        <w:rPr>
          <w:rFonts w:cs="Arial" w:ascii="Arial" w:hAnsi="Arial"/>
          <w:sz w:val="20"/>
          <w:szCs w:val="20"/>
        </w:rPr>
        <w:t>che</w:t>
      </w:r>
      <w:r>
        <w:rPr>
          <w:rFonts w:cs="Arial" w:ascii="Arial" w:hAnsi="Arial"/>
          <w:spacing w:val="1"/>
          <w:sz w:val="20"/>
          <w:szCs w:val="20"/>
        </w:rPr>
        <w:t xml:space="preserve"> </w:t>
      </w:r>
      <w:r>
        <w:rPr>
          <w:rFonts w:cs="Arial" w:ascii="Arial" w:hAnsi="Arial"/>
          <w:sz w:val="20"/>
          <w:szCs w:val="20"/>
        </w:rPr>
        <w:t>ai</w:t>
      </w:r>
      <w:r>
        <w:rPr>
          <w:rFonts w:cs="Arial" w:ascii="Arial" w:hAnsi="Arial"/>
          <w:spacing w:val="1"/>
          <w:sz w:val="20"/>
          <w:szCs w:val="20"/>
        </w:rPr>
        <w:t xml:space="preserve"> </w:t>
      </w:r>
      <w:r>
        <w:rPr>
          <w:rFonts w:cs="Arial" w:ascii="Arial" w:hAnsi="Arial"/>
          <w:sz w:val="20"/>
          <w:szCs w:val="20"/>
        </w:rPr>
        <w:t>fini</w:t>
      </w:r>
      <w:r>
        <w:rPr>
          <w:rFonts w:cs="Arial" w:ascii="Arial" w:hAnsi="Arial"/>
          <w:spacing w:val="1"/>
          <w:sz w:val="20"/>
          <w:szCs w:val="20"/>
        </w:rPr>
        <w:t xml:space="preserve"> </w:t>
      </w:r>
      <w:r>
        <w:rPr>
          <w:rFonts w:cs="Arial" w:ascii="Arial" w:hAnsi="Arial"/>
          <w:sz w:val="20"/>
          <w:szCs w:val="20"/>
        </w:rPr>
        <w:t>dell’affidamento</w:t>
      </w:r>
      <w:r>
        <w:rPr>
          <w:rFonts w:cs="Arial" w:ascii="Arial" w:hAnsi="Arial"/>
          <w:spacing w:val="1"/>
          <w:sz w:val="20"/>
          <w:szCs w:val="20"/>
        </w:rPr>
        <w:t xml:space="preserve"> </w:t>
      </w:r>
      <w:r>
        <w:rPr>
          <w:rFonts w:cs="Arial" w:ascii="Arial" w:hAnsi="Arial"/>
          <w:sz w:val="20"/>
          <w:szCs w:val="20"/>
        </w:rPr>
        <w:t>e</w:t>
      </w:r>
      <w:r>
        <w:rPr>
          <w:rFonts w:cs="Arial" w:ascii="Arial" w:hAnsi="Arial"/>
          <w:spacing w:val="1"/>
          <w:sz w:val="20"/>
          <w:szCs w:val="20"/>
        </w:rPr>
        <w:t xml:space="preserve"> </w:t>
      </w:r>
      <w:r>
        <w:rPr>
          <w:rFonts w:cs="Arial" w:ascii="Arial" w:hAnsi="Arial"/>
          <w:sz w:val="20"/>
          <w:szCs w:val="20"/>
        </w:rPr>
        <w:t>dell’esecuzione</w:t>
      </w:r>
      <w:r>
        <w:rPr>
          <w:rFonts w:cs="Arial" w:ascii="Arial" w:hAnsi="Arial"/>
          <w:spacing w:val="1"/>
          <w:sz w:val="20"/>
          <w:szCs w:val="20"/>
        </w:rPr>
        <w:t xml:space="preserve"> </w:t>
      </w:r>
      <w:r>
        <w:rPr>
          <w:rFonts w:cs="Arial" w:ascii="Arial" w:hAnsi="Arial"/>
          <w:sz w:val="20"/>
          <w:szCs w:val="20"/>
        </w:rPr>
        <w:t>dei contratti di concessione</w:t>
      </w:r>
      <w:r>
        <w:rPr>
          <w:rFonts w:cs="Arial" w:ascii="Arial" w:hAnsi="Arial"/>
          <w:spacing w:val="70"/>
          <w:sz w:val="20"/>
          <w:szCs w:val="20"/>
        </w:rPr>
        <w:t xml:space="preserve"> </w:t>
      </w:r>
      <w:r>
        <w:rPr>
          <w:rFonts w:cs="Arial" w:ascii="Arial" w:hAnsi="Arial"/>
          <w:sz w:val="20"/>
          <w:szCs w:val="20"/>
        </w:rPr>
        <w:t>e di partenariato pubblico privato</w:t>
      </w:r>
      <w:r>
        <w:rPr>
          <w:rFonts w:cs="Arial" w:ascii="Arial" w:hAnsi="Arial"/>
          <w:spacing w:val="1"/>
          <w:sz w:val="20"/>
          <w:szCs w:val="20"/>
        </w:rPr>
        <w:t xml:space="preserve"> </w:t>
      </w:r>
      <w:r>
        <w:rPr>
          <w:rFonts w:cs="Arial" w:ascii="Arial" w:hAnsi="Arial"/>
          <w:sz w:val="20"/>
          <w:szCs w:val="20"/>
        </w:rPr>
        <w:t>di</w:t>
      </w:r>
      <w:r>
        <w:rPr>
          <w:rFonts w:cs="Arial" w:ascii="Arial" w:hAnsi="Arial"/>
          <w:spacing w:val="1"/>
          <w:sz w:val="20"/>
          <w:szCs w:val="20"/>
        </w:rPr>
        <w:t xml:space="preserve"> </w:t>
      </w:r>
      <w:r>
        <w:rPr>
          <w:rFonts w:cs="Arial" w:ascii="Arial" w:hAnsi="Arial"/>
          <w:sz w:val="20"/>
          <w:szCs w:val="20"/>
        </w:rPr>
        <w:t>qualsiasi</w:t>
      </w:r>
      <w:r>
        <w:rPr>
          <w:rFonts w:cs="Arial" w:ascii="Arial" w:hAnsi="Arial"/>
          <w:spacing w:val="1"/>
          <w:sz w:val="20"/>
          <w:szCs w:val="20"/>
        </w:rPr>
        <w:t xml:space="preserve"> </w:t>
      </w:r>
      <w:r>
        <w:rPr>
          <w:rFonts w:cs="Arial" w:ascii="Arial" w:hAnsi="Arial"/>
          <w:sz w:val="20"/>
          <w:szCs w:val="20"/>
        </w:rPr>
        <w:t>importo</w:t>
      </w:r>
      <w:r>
        <w:rPr>
          <w:rFonts w:cs="Arial" w:ascii="Arial" w:hAnsi="Arial"/>
          <w:spacing w:val="1"/>
          <w:sz w:val="20"/>
          <w:szCs w:val="20"/>
        </w:rPr>
        <w:t xml:space="preserve"> </w:t>
      </w:r>
      <w:r>
        <w:rPr>
          <w:rFonts w:cs="Arial" w:ascii="Arial" w:hAnsi="Arial"/>
          <w:sz w:val="20"/>
          <w:szCs w:val="20"/>
        </w:rPr>
        <w:t>le</w:t>
      </w:r>
      <w:r>
        <w:rPr>
          <w:rFonts w:cs="Arial" w:ascii="Arial" w:hAnsi="Arial"/>
          <w:spacing w:val="1"/>
          <w:sz w:val="20"/>
          <w:szCs w:val="20"/>
        </w:rPr>
        <w:t xml:space="preserve"> </w:t>
      </w:r>
      <w:r>
        <w:rPr>
          <w:rFonts w:cs="Arial" w:ascii="Arial" w:hAnsi="Arial"/>
          <w:sz w:val="20"/>
          <w:szCs w:val="20"/>
        </w:rPr>
        <w:t>stazioni</w:t>
      </w:r>
      <w:r>
        <w:rPr>
          <w:rFonts w:cs="Arial" w:ascii="Arial" w:hAnsi="Arial"/>
          <w:spacing w:val="1"/>
          <w:sz w:val="20"/>
          <w:szCs w:val="20"/>
        </w:rPr>
        <w:t xml:space="preserve"> </w:t>
      </w:r>
      <w:r>
        <w:rPr>
          <w:rFonts w:cs="Arial" w:ascii="Arial" w:hAnsi="Arial"/>
          <w:sz w:val="20"/>
          <w:szCs w:val="20"/>
        </w:rPr>
        <w:t>appaltanti</w:t>
      </w:r>
      <w:r>
        <w:rPr>
          <w:rFonts w:cs="Arial" w:ascii="Arial" w:hAnsi="Arial"/>
          <w:spacing w:val="1"/>
          <w:sz w:val="20"/>
          <w:szCs w:val="20"/>
        </w:rPr>
        <w:t xml:space="preserve"> </w:t>
      </w:r>
      <w:r>
        <w:rPr>
          <w:rFonts w:cs="Arial" w:ascii="Arial" w:hAnsi="Arial"/>
          <w:sz w:val="20"/>
          <w:szCs w:val="20"/>
        </w:rPr>
        <w:t>devono</w:t>
      </w:r>
      <w:r>
        <w:rPr>
          <w:rFonts w:cs="Arial" w:ascii="Arial" w:hAnsi="Arial"/>
          <w:spacing w:val="1"/>
          <w:sz w:val="20"/>
          <w:szCs w:val="20"/>
        </w:rPr>
        <w:t xml:space="preserve"> </w:t>
      </w:r>
      <w:r>
        <w:rPr>
          <w:rFonts w:cs="Arial" w:ascii="Arial" w:hAnsi="Arial"/>
          <w:sz w:val="20"/>
          <w:szCs w:val="20"/>
        </w:rPr>
        <w:t>possedere</w:t>
      </w:r>
      <w:r>
        <w:rPr>
          <w:rFonts w:cs="Arial" w:ascii="Arial" w:hAnsi="Arial"/>
          <w:spacing w:val="1"/>
          <w:sz w:val="20"/>
          <w:szCs w:val="20"/>
        </w:rPr>
        <w:t xml:space="preserve"> </w:t>
      </w:r>
      <w:r>
        <w:rPr>
          <w:rFonts w:cs="Arial" w:ascii="Arial" w:hAnsi="Arial"/>
          <w:sz w:val="20"/>
          <w:szCs w:val="20"/>
        </w:rPr>
        <w:t>almeno</w:t>
      </w:r>
      <w:r>
        <w:rPr>
          <w:rFonts w:cs="Arial" w:ascii="Arial" w:hAnsi="Arial"/>
          <w:spacing w:val="1"/>
          <w:sz w:val="20"/>
          <w:szCs w:val="20"/>
        </w:rPr>
        <w:t xml:space="preserve"> </w:t>
      </w:r>
      <w:r>
        <w:rPr>
          <w:rFonts w:cs="Arial" w:ascii="Arial" w:hAnsi="Arial"/>
          <w:sz w:val="20"/>
          <w:szCs w:val="20"/>
        </w:rPr>
        <w:t>una</w:t>
      </w:r>
      <w:r>
        <w:rPr>
          <w:rFonts w:cs="Arial" w:ascii="Arial" w:hAnsi="Arial"/>
          <w:spacing w:val="1"/>
          <w:sz w:val="20"/>
          <w:szCs w:val="20"/>
        </w:rPr>
        <w:t xml:space="preserve"> </w:t>
      </w:r>
      <w:r>
        <w:rPr>
          <w:rFonts w:cs="Arial" w:ascii="Arial" w:hAnsi="Arial"/>
          <w:sz w:val="20"/>
          <w:szCs w:val="20"/>
        </w:rPr>
        <w:t>qualificazione di livello L2 o S2 e garantire la presenza di almeno un soggetto</w:t>
      </w:r>
      <w:r>
        <w:rPr>
          <w:rFonts w:cs="Arial" w:ascii="Arial" w:hAnsi="Arial"/>
          <w:spacing w:val="1"/>
          <w:sz w:val="20"/>
          <w:szCs w:val="20"/>
        </w:rPr>
        <w:t xml:space="preserve"> </w:t>
      </w:r>
      <w:r>
        <w:rPr>
          <w:rFonts w:cs="Arial" w:ascii="Arial" w:hAnsi="Arial"/>
          <w:sz w:val="20"/>
          <w:szCs w:val="20"/>
        </w:rPr>
        <w:t>con esperienza di tre anni nella gestione di piani economici e finanziari e dei</w:t>
      </w:r>
      <w:r>
        <w:rPr>
          <w:rFonts w:cs="Arial" w:ascii="Arial" w:hAnsi="Arial"/>
          <w:spacing w:val="1"/>
          <w:sz w:val="20"/>
          <w:szCs w:val="20"/>
        </w:rPr>
        <w:t xml:space="preserve"> </w:t>
      </w:r>
      <w:r>
        <w:rPr>
          <w:rFonts w:cs="Arial" w:ascii="Arial" w:hAnsi="Arial"/>
          <w:sz w:val="20"/>
          <w:szCs w:val="20"/>
        </w:rPr>
        <w:t>rischi;</w:t>
      </w:r>
    </w:p>
    <w:p>
      <w:pPr>
        <w:pStyle w:val="ListParagraph"/>
        <w:numPr>
          <w:ilvl w:val="0"/>
          <w:numId w:val="2"/>
        </w:numPr>
        <w:tabs>
          <w:tab w:val="clear" w:pos="720"/>
          <w:tab w:val="left" w:pos="142" w:leader="none"/>
        </w:tabs>
        <w:spacing w:lineRule="auto" w:line="360"/>
        <w:ind w:left="142" w:right="113" w:hanging="142"/>
        <w:rPr>
          <w:rFonts w:ascii="Arial" w:hAnsi="Arial" w:cs="Arial"/>
          <w:sz w:val="20"/>
          <w:szCs w:val="20"/>
        </w:rPr>
      </w:pPr>
      <w:r>
        <w:rPr>
          <w:rFonts w:cs="Arial" w:ascii="Arial" w:hAnsi="Arial"/>
          <w:spacing w:val="1"/>
          <w:sz w:val="20"/>
          <w:szCs w:val="20"/>
        </w:rPr>
        <w:t>all’art</w:t>
      </w:r>
      <w:r>
        <w:rPr>
          <w:rFonts w:cs="Arial" w:ascii="Arial" w:hAnsi="Arial"/>
          <w:sz w:val="20"/>
          <w:szCs w:val="20"/>
        </w:rPr>
        <w:t>.</w:t>
      </w:r>
      <w:r>
        <w:rPr>
          <w:rFonts w:cs="Arial" w:ascii="Arial" w:hAnsi="Arial"/>
          <w:spacing w:val="2"/>
          <w:sz w:val="20"/>
          <w:szCs w:val="20"/>
        </w:rPr>
        <w:t xml:space="preserve"> </w:t>
      </w:r>
      <w:r>
        <w:rPr>
          <w:rFonts w:cs="Arial" w:ascii="Arial" w:hAnsi="Arial"/>
          <w:sz w:val="20"/>
          <w:szCs w:val="20"/>
        </w:rPr>
        <w:t>3,</w:t>
      </w:r>
      <w:r>
        <w:rPr>
          <w:rFonts w:cs="Arial" w:ascii="Arial" w:hAnsi="Arial"/>
          <w:spacing w:val="69"/>
          <w:sz w:val="20"/>
          <w:szCs w:val="20"/>
        </w:rPr>
        <w:t xml:space="preserve"> </w:t>
      </w:r>
      <w:r>
        <w:rPr>
          <w:rFonts w:cs="Arial" w:ascii="Arial" w:hAnsi="Arial"/>
          <w:spacing w:val="1"/>
          <w:sz w:val="20"/>
          <w:szCs w:val="20"/>
        </w:rPr>
        <w:t>comma</w:t>
      </w:r>
      <w:r>
        <w:rPr>
          <w:rFonts w:cs="Arial" w:ascii="Arial" w:hAnsi="Arial"/>
          <w:spacing w:val="71"/>
          <w:sz w:val="20"/>
          <w:szCs w:val="20"/>
        </w:rPr>
        <w:t xml:space="preserve"> </w:t>
      </w:r>
      <w:r>
        <w:rPr>
          <w:rFonts w:cs="Arial" w:ascii="Arial" w:hAnsi="Arial"/>
          <w:sz w:val="20"/>
          <w:szCs w:val="20"/>
        </w:rPr>
        <w:t>1,</w:t>
      </w:r>
      <w:r>
        <w:rPr>
          <w:rFonts w:cs="Arial" w:ascii="Arial" w:hAnsi="Arial"/>
          <w:spacing w:val="69"/>
          <w:sz w:val="20"/>
          <w:szCs w:val="20"/>
        </w:rPr>
        <w:t xml:space="preserve"> </w:t>
      </w:r>
      <w:r>
        <w:rPr>
          <w:rFonts w:cs="Arial" w:ascii="Arial" w:hAnsi="Arial"/>
          <w:sz w:val="20"/>
          <w:szCs w:val="20"/>
        </w:rPr>
        <w:t>lett.</w:t>
      </w:r>
      <w:r>
        <w:rPr>
          <w:rFonts w:cs="Arial" w:ascii="Arial" w:hAnsi="Arial"/>
          <w:spacing w:val="71"/>
          <w:sz w:val="20"/>
          <w:szCs w:val="20"/>
        </w:rPr>
        <w:t xml:space="preserve"> </w:t>
      </w:r>
      <w:r>
        <w:rPr>
          <w:rFonts w:cs="Arial" w:ascii="Arial" w:hAnsi="Arial"/>
          <w:sz w:val="20"/>
          <w:szCs w:val="20"/>
        </w:rPr>
        <w:t>z),</w:t>
      </w:r>
      <w:r>
        <w:rPr>
          <w:rFonts w:cs="Arial" w:ascii="Arial" w:hAnsi="Arial"/>
          <w:spacing w:val="71"/>
          <w:sz w:val="20"/>
          <w:szCs w:val="20"/>
        </w:rPr>
        <w:t xml:space="preserve"> </w:t>
      </w:r>
      <w:r>
        <w:rPr>
          <w:rFonts w:cs="Arial" w:ascii="Arial" w:hAnsi="Arial"/>
          <w:sz w:val="20"/>
          <w:szCs w:val="20"/>
        </w:rPr>
        <w:t>dell’allegato</w:t>
      </w:r>
      <w:r>
        <w:rPr>
          <w:rFonts w:cs="Arial" w:ascii="Arial" w:hAnsi="Arial"/>
          <w:spacing w:val="71"/>
          <w:sz w:val="20"/>
          <w:szCs w:val="20"/>
        </w:rPr>
        <w:t xml:space="preserve"> </w:t>
      </w:r>
      <w:r>
        <w:rPr>
          <w:rFonts w:cs="Arial" w:ascii="Arial" w:hAnsi="Arial"/>
          <w:sz w:val="20"/>
          <w:szCs w:val="20"/>
        </w:rPr>
        <w:t>I.1</w:t>
      </w:r>
      <w:r>
        <w:rPr>
          <w:rFonts w:cs="Arial" w:ascii="Arial" w:hAnsi="Arial"/>
          <w:spacing w:val="69"/>
          <w:sz w:val="20"/>
          <w:szCs w:val="20"/>
        </w:rPr>
        <w:t xml:space="preserve"> </w:t>
      </w:r>
      <w:r>
        <w:rPr>
          <w:rFonts w:cs="Arial" w:ascii="Arial" w:hAnsi="Arial"/>
          <w:sz w:val="20"/>
          <w:szCs w:val="20"/>
        </w:rPr>
        <w:t>stabilisce</w:t>
      </w:r>
      <w:r>
        <w:rPr>
          <w:rFonts w:cs="Arial" w:ascii="Arial" w:hAnsi="Arial"/>
          <w:spacing w:val="71"/>
          <w:sz w:val="20"/>
          <w:szCs w:val="20"/>
        </w:rPr>
        <w:t xml:space="preserve"> </w:t>
      </w:r>
      <w:r>
        <w:rPr>
          <w:rFonts w:cs="Arial" w:ascii="Arial" w:hAnsi="Arial"/>
          <w:sz w:val="20"/>
          <w:szCs w:val="20"/>
        </w:rPr>
        <w:t>che</w:t>
      </w:r>
      <w:r>
        <w:rPr>
          <w:rFonts w:cs="Arial" w:ascii="Arial" w:hAnsi="Arial"/>
          <w:spacing w:val="71"/>
          <w:sz w:val="20"/>
          <w:szCs w:val="20"/>
        </w:rPr>
        <w:t xml:space="preserve"> </w:t>
      </w:r>
      <w:r>
        <w:rPr>
          <w:rFonts w:cs="Arial" w:ascii="Arial" w:hAnsi="Arial"/>
          <w:sz w:val="20"/>
          <w:szCs w:val="20"/>
        </w:rPr>
        <w:t>si</w:t>
      </w:r>
      <w:r>
        <w:rPr>
          <w:rFonts w:cs="Arial" w:ascii="Arial" w:hAnsi="Arial"/>
          <w:spacing w:val="71"/>
          <w:sz w:val="20"/>
          <w:szCs w:val="20"/>
        </w:rPr>
        <w:t xml:space="preserve"> </w:t>
      </w:r>
      <w:r>
        <w:rPr>
          <w:rFonts w:cs="Arial" w:ascii="Arial" w:hAnsi="Arial"/>
          <w:sz w:val="20"/>
          <w:szCs w:val="20"/>
        </w:rPr>
        <w:t>intende</w:t>
      </w:r>
      <w:r>
        <w:rPr>
          <w:rFonts w:cs="Arial" w:ascii="Arial" w:hAnsi="Arial"/>
          <w:spacing w:val="69"/>
          <w:sz w:val="20"/>
          <w:szCs w:val="20"/>
        </w:rPr>
        <w:t xml:space="preserve"> </w:t>
      </w:r>
      <w:r>
        <w:rPr>
          <w:rFonts w:cs="Arial" w:ascii="Arial" w:hAnsi="Arial"/>
          <w:sz w:val="20"/>
          <w:szCs w:val="20"/>
        </w:rPr>
        <w:t>per</w:t>
      </w:r>
    </w:p>
    <w:p>
      <w:pPr>
        <w:pStyle w:val="Corpodeltesto"/>
        <w:spacing w:lineRule="auto" w:line="360"/>
        <w:ind w:left="142" w:right="112" w:hanging="0"/>
        <w:rPr>
          <w:rFonts w:ascii="Arial" w:hAnsi="Arial" w:cs="Arial"/>
          <w:sz w:val="20"/>
          <w:szCs w:val="20"/>
        </w:rPr>
      </w:pPr>
      <w:r>
        <w:rPr>
          <w:rFonts w:cs="Arial" w:ascii="Arial" w:hAnsi="Arial"/>
          <w:sz w:val="20"/>
          <w:szCs w:val="20"/>
        </w:rPr>
        <w:t>«attività di committenza ausiliaria» le attività che consistono nella prestazione</w:t>
      </w:r>
      <w:r>
        <w:rPr>
          <w:rFonts w:cs="Arial" w:ascii="Arial" w:hAnsi="Arial"/>
          <w:spacing w:val="1"/>
          <w:sz w:val="20"/>
          <w:szCs w:val="20"/>
        </w:rPr>
        <w:t xml:space="preserve"> </w:t>
      </w:r>
      <w:r>
        <w:rPr>
          <w:rFonts w:cs="Arial" w:ascii="Arial" w:hAnsi="Arial"/>
          <w:sz w:val="20"/>
          <w:szCs w:val="20"/>
        </w:rPr>
        <w:t>di</w:t>
      </w:r>
      <w:r>
        <w:rPr>
          <w:rFonts w:cs="Arial" w:ascii="Arial" w:hAnsi="Arial"/>
          <w:spacing w:val="-2"/>
          <w:sz w:val="20"/>
          <w:szCs w:val="20"/>
        </w:rPr>
        <w:t xml:space="preserve"> </w:t>
      </w:r>
      <w:r>
        <w:rPr>
          <w:rFonts w:cs="Arial" w:ascii="Arial" w:hAnsi="Arial"/>
          <w:sz w:val="20"/>
          <w:szCs w:val="20"/>
        </w:rPr>
        <w:t>supporto</w:t>
      </w:r>
      <w:r>
        <w:rPr>
          <w:rFonts w:cs="Arial" w:ascii="Arial" w:hAnsi="Arial"/>
          <w:spacing w:val="-1"/>
          <w:sz w:val="20"/>
          <w:szCs w:val="20"/>
        </w:rPr>
        <w:t xml:space="preserve"> </w:t>
      </w:r>
      <w:r>
        <w:rPr>
          <w:rFonts w:cs="Arial" w:ascii="Arial" w:hAnsi="Arial"/>
          <w:sz w:val="20"/>
          <w:szCs w:val="20"/>
        </w:rPr>
        <w:t>alle</w:t>
      </w:r>
      <w:r>
        <w:rPr>
          <w:rFonts w:cs="Arial" w:ascii="Arial" w:hAnsi="Arial"/>
          <w:spacing w:val="-3"/>
          <w:sz w:val="20"/>
          <w:szCs w:val="20"/>
        </w:rPr>
        <w:t xml:space="preserve"> </w:t>
      </w:r>
      <w:r>
        <w:rPr>
          <w:rFonts w:cs="Arial" w:ascii="Arial" w:hAnsi="Arial"/>
          <w:sz w:val="20"/>
          <w:szCs w:val="20"/>
        </w:rPr>
        <w:t>attività</w:t>
      </w:r>
      <w:r>
        <w:rPr>
          <w:rFonts w:cs="Arial" w:ascii="Arial" w:hAnsi="Arial"/>
          <w:spacing w:val="-2"/>
          <w:sz w:val="20"/>
          <w:szCs w:val="20"/>
        </w:rPr>
        <w:t xml:space="preserve"> </w:t>
      </w:r>
      <w:r>
        <w:rPr>
          <w:rFonts w:cs="Arial" w:ascii="Arial" w:hAnsi="Arial"/>
          <w:sz w:val="20"/>
          <w:szCs w:val="20"/>
        </w:rPr>
        <w:t>di</w:t>
      </w:r>
      <w:r>
        <w:rPr>
          <w:rFonts w:cs="Arial" w:ascii="Arial" w:hAnsi="Arial"/>
          <w:spacing w:val="-1"/>
          <w:sz w:val="20"/>
          <w:szCs w:val="20"/>
        </w:rPr>
        <w:t xml:space="preserve"> </w:t>
      </w:r>
      <w:r>
        <w:rPr>
          <w:rFonts w:cs="Arial" w:ascii="Arial" w:hAnsi="Arial"/>
          <w:sz w:val="20"/>
          <w:szCs w:val="20"/>
        </w:rPr>
        <w:t>committenza,</w:t>
      </w:r>
      <w:r>
        <w:rPr>
          <w:rFonts w:cs="Arial" w:ascii="Arial" w:hAnsi="Arial"/>
          <w:spacing w:val="-1"/>
          <w:sz w:val="20"/>
          <w:szCs w:val="20"/>
        </w:rPr>
        <w:t xml:space="preserve"> </w:t>
      </w:r>
      <w:r>
        <w:rPr>
          <w:rFonts w:cs="Arial" w:ascii="Arial" w:hAnsi="Arial"/>
          <w:sz w:val="20"/>
          <w:szCs w:val="20"/>
        </w:rPr>
        <w:t>in</w:t>
      </w:r>
      <w:r>
        <w:rPr>
          <w:rFonts w:cs="Arial" w:ascii="Arial" w:hAnsi="Arial"/>
          <w:spacing w:val="-1"/>
          <w:sz w:val="20"/>
          <w:szCs w:val="20"/>
        </w:rPr>
        <w:t xml:space="preserve"> </w:t>
      </w:r>
      <w:r>
        <w:rPr>
          <w:rFonts w:cs="Arial" w:ascii="Arial" w:hAnsi="Arial"/>
          <w:sz w:val="20"/>
          <w:szCs w:val="20"/>
        </w:rPr>
        <w:t>particolare</w:t>
      </w:r>
      <w:r>
        <w:rPr>
          <w:rFonts w:cs="Arial" w:ascii="Arial" w:hAnsi="Arial"/>
          <w:spacing w:val="-3"/>
          <w:sz w:val="20"/>
          <w:szCs w:val="20"/>
        </w:rPr>
        <w:t xml:space="preserve"> </w:t>
      </w:r>
      <w:r>
        <w:rPr>
          <w:rFonts w:cs="Arial" w:ascii="Arial" w:hAnsi="Arial"/>
          <w:sz w:val="20"/>
          <w:szCs w:val="20"/>
        </w:rPr>
        <w:t>nelle forme</w:t>
      </w:r>
      <w:r>
        <w:rPr>
          <w:rFonts w:cs="Arial" w:ascii="Arial" w:hAnsi="Arial"/>
          <w:spacing w:val="-2"/>
          <w:sz w:val="20"/>
          <w:szCs w:val="20"/>
        </w:rPr>
        <w:t xml:space="preserve"> </w:t>
      </w:r>
      <w:r>
        <w:rPr>
          <w:rFonts w:cs="Arial" w:ascii="Arial" w:hAnsi="Arial"/>
          <w:sz w:val="20"/>
          <w:szCs w:val="20"/>
        </w:rPr>
        <w:t>seguenti:</w:t>
      </w:r>
    </w:p>
    <w:p>
      <w:pPr>
        <w:pStyle w:val="ListParagraph"/>
        <w:numPr>
          <w:ilvl w:val="0"/>
          <w:numId w:val="20"/>
        </w:numPr>
        <w:tabs>
          <w:tab w:val="clear" w:pos="720"/>
          <w:tab w:val="left" w:pos="142" w:leader="none"/>
        </w:tabs>
        <w:spacing w:lineRule="auto" w:line="360"/>
        <w:ind w:left="862" w:right="113" w:hanging="360"/>
        <w:rPr>
          <w:rFonts w:ascii="Arial" w:hAnsi="Arial" w:cs="Arial"/>
          <w:sz w:val="20"/>
          <w:szCs w:val="20"/>
        </w:rPr>
      </w:pPr>
      <w:r>
        <w:rPr>
          <w:rFonts w:cs="Arial" w:ascii="Arial" w:hAnsi="Arial"/>
          <w:sz w:val="20"/>
          <w:szCs w:val="20"/>
        </w:rPr>
        <w:t>infrastrutture tecniche che consentano alle stazioni appaltanti di aggiudicare appalti pubblici o di concludere accordi quadro per lavori, forniture o servizi;</w:t>
      </w:r>
    </w:p>
    <w:p>
      <w:pPr>
        <w:pStyle w:val="ListParagraph"/>
        <w:numPr>
          <w:ilvl w:val="0"/>
          <w:numId w:val="20"/>
        </w:numPr>
        <w:tabs>
          <w:tab w:val="clear" w:pos="720"/>
          <w:tab w:val="left" w:pos="142" w:leader="none"/>
        </w:tabs>
        <w:spacing w:lineRule="auto" w:line="360"/>
        <w:ind w:left="862" w:right="113" w:hanging="360"/>
        <w:rPr>
          <w:rFonts w:ascii="Arial" w:hAnsi="Arial" w:cs="Arial"/>
          <w:sz w:val="20"/>
          <w:szCs w:val="20"/>
        </w:rPr>
      </w:pPr>
      <w:r>
        <w:rPr>
          <w:rFonts w:cs="Arial" w:ascii="Arial" w:hAnsi="Arial"/>
          <w:sz w:val="20"/>
          <w:szCs w:val="20"/>
        </w:rPr>
        <w:t>consulenza sullo svolgimento o sulla progettazione delle procedure di appalto;</w:t>
      </w:r>
    </w:p>
    <w:p>
      <w:pPr>
        <w:pStyle w:val="ListParagraph"/>
        <w:numPr>
          <w:ilvl w:val="0"/>
          <w:numId w:val="20"/>
        </w:numPr>
        <w:tabs>
          <w:tab w:val="clear" w:pos="720"/>
          <w:tab w:val="left" w:pos="142" w:leader="none"/>
        </w:tabs>
        <w:spacing w:lineRule="auto" w:line="360"/>
        <w:ind w:left="862" w:right="113" w:hanging="360"/>
        <w:rPr>
          <w:rFonts w:ascii="Arial" w:hAnsi="Arial" w:cs="Arial"/>
          <w:sz w:val="20"/>
          <w:szCs w:val="20"/>
        </w:rPr>
      </w:pPr>
      <w:r>
        <w:rPr>
          <w:rFonts w:cs="Arial" w:ascii="Arial" w:hAnsi="Arial"/>
          <w:sz w:val="20"/>
          <w:szCs w:val="20"/>
        </w:rPr>
        <w:t>preparazione delle procedure di appalto in nome e per conto della stazione appaltante interessata;</w:t>
      </w:r>
    </w:p>
    <w:p>
      <w:pPr>
        <w:pStyle w:val="ListParagraph"/>
        <w:numPr>
          <w:ilvl w:val="0"/>
          <w:numId w:val="20"/>
        </w:numPr>
        <w:tabs>
          <w:tab w:val="clear" w:pos="720"/>
          <w:tab w:val="left" w:pos="142" w:leader="none"/>
        </w:tabs>
        <w:spacing w:lineRule="auto" w:line="360"/>
        <w:ind w:left="862" w:right="113" w:hanging="360"/>
        <w:rPr>
          <w:rFonts w:ascii="Arial" w:hAnsi="Arial" w:cs="Arial"/>
          <w:sz w:val="20"/>
          <w:szCs w:val="20"/>
        </w:rPr>
      </w:pPr>
      <w:r>
        <w:rPr>
          <w:rFonts w:cs="Arial" w:ascii="Arial" w:hAnsi="Arial"/>
          <w:sz w:val="20"/>
          <w:szCs w:val="20"/>
        </w:rPr>
        <w:t>gestione delle procedure di appalto in nome e per conto della stazione appaltante interessata”;</w:t>
      </w:r>
    </w:p>
    <w:p>
      <w:pPr>
        <w:pStyle w:val="ListParagraph"/>
        <w:numPr>
          <w:ilvl w:val="0"/>
          <w:numId w:val="2"/>
        </w:numPr>
        <w:tabs>
          <w:tab w:val="clear" w:pos="720"/>
          <w:tab w:val="left" w:pos="142" w:leader="none"/>
        </w:tabs>
        <w:spacing w:lineRule="auto" w:line="360"/>
        <w:ind w:left="142" w:right="113" w:hanging="142"/>
        <w:rPr>
          <w:rFonts w:ascii="Arial" w:hAnsi="Arial" w:cs="Arial"/>
          <w:sz w:val="20"/>
          <w:szCs w:val="20"/>
        </w:rPr>
      </w:pPr>
      <w:r>
        <w:rPr>
          <w:rFonts w:cs="Arial" w:ascii="Arial" w:hAnsi="Arial"/>
          <w:spacing w:val="1"/>
          <w:sz w:val="20"/>
          <w:szCs w:val="20"/>
        </w:rPr>
        <w:t xml:space="preserve">all’articolo </w:t>
      </w:r>
      <w:r>
        <w:rPr>
          <w:rFonts w:cs="Arial" w:ascii="Arial" w:hAnsi="Arial"/>
          <w:sz w:val="20"/>
          <w:szCs w:val="20"/>
        </w:rPr>
        <w:t>63,</w:t>
      </w:r>
      <w:r>
        <w:rPr>
          <w:rFonts w:cs="Arial" w:ascii="Arial" w:hAnsi="Arial"/>
          <w:spacing w:val="1"/>
          <w:sz w:val="20"/>
          <w:szCs w:val="20"/>
        </w:rPr>
        <w:t xml:space="preserve"> </w:t>
      </w:r>
      <w:r>
        <w:rPr>
          <w:rFonts w:cs="Arial" w:ascii="Arial" w:hAnsi="Arial"/>
          <w:sz w:val="20"/>
          <w:szCs w:val="20"/>
        </w:rPr>
        <w:t>comma</w:t>
      </w:r>
      <w:r>
        <w:rPr>
          <w:rFonts w:cs="Arial" w:ascii="Arial" w:hAnsi="Arial"/>
          <w:spacing w:val="1"/>
          <w:sz w:val="20"/>
          <w:szCs w:val="20"/>
        </w:rPr>
        <w:t xml:space="preserve"> </w:t>
      </w:r>
      <w:r>
        <w:rPr>
          <w:rFonts w:cs="Arial" w:ascii="Arial" w:hAnsi="Arial"/>
          <w:sz w:val="20"/>
          <w:szCs w:val="20"/>
        </w:rPr>
        <w:t>1,</w:t>
      </w:r>
      <w:r>
        <w:rPr>
          <w:rFonts w:cs="Arial" w:ascii="Arial" w:hAnsi="Arial"/>
          <w:spacing w:val="1"/>
          <w:sz w:val="20"/>
          <w:szCs w:val="20"/>
        </w:rPr>
        <w:t xml:space="preserve"> </w:t>
      </w:r>
      <w:r>
        <w:rPr>
          <w:rFonts w:cs="Arial" w:ascii="Arial" w:hAnsi="Arial"/>
          <w:sz w:val="20"/>
          <w:szCs w:val="20"/>
        </w:rPr>
        <w:t>stabilisce</w:t>
      </w:r>
      <w:r>
        <w:rPr>
          <w:rFonts w:cs="Arial" w:ascii="Arial" w:hAnsi="Arial"/>
          <w:spacing w:val="1"/>
          <w:sz w:val="20"/>
          <w:szCs w:val="20"/>
        </w:rPr>
        <w:t xml:space="preserve"> </w:t>
      </w:r>
      <w:r>
        <w:rPr>
          <w:rFonts w:cs="Arial" w:ascii="Arial" w:hAnsi="Arial"/>
          <w:sz w:val="20"/>
          <w:szCs w:val="20"/>
        </w:rPr>
        <w:t>che</w:t>
      </w:r>
      <w:r>
        <w:rPr>
          <w:rFonts w:cs="Arial" w:ascii="Arial" w:hAnsi="Arial"/>
          <w:spacing w:val="1"/>
          <w:sz w:val="20"/>
          <w:szCs w:val="20"/>
        </w:rPr>
        <w:t xml:space="preserve"> </w:t>
      </w:r>
      <w:r>
        <w:rPr>
          <w:rFonts w:cs="Arial" w:ascii="Arial" w:hAnsi="Arial"/>
          <w:sz w:val="20"/>
          <w:szCs w:val="20"/>
        </w:rPr>
        <w:t>“Fermo</w:t>
      </w:r>
      <w:r>
        <w:rPr>
          <w:rFonts w:cs="Arial" w:ascii="Arial" w:hAnsi="Arial"/>
          <w:spacing w:val="1"/>
          <w:sz w:val="20"/>
          <w:szCs w:val="20"/>
        </w:rPr>
        <w:t xml:space="preserve"> </w:t>
      </w:r>
      <w:r>
        <w:rPr>
          <w:rFonts w:cs="Arial" w:ascii="Arial" w:hAnsi="Arial"/>
          <w:sz w:val="20"/>
          <w:szCs w:val="20"/>
        </w:rPr>
        <w:t>restando</w:t>
      </w:r>
      <w:r>
        <w:rPr>
          <w:rFonts w:cs="Arial" w:ascii="Arial" w:hAnsi="Arial"/>
          <w:spacing w:val="1"/>
          <w:sz w:val="20"/>
          <w:szCs w:val="20"/>
        </w:rPr>
        <w:t xml:space="preserve"> </w:t>
      </w:r>
      <w:r>
        <w:rPr>
          <w:rFonts w:cs="Arial" w:ascii="Arial" w:hAnsi="Arial"/>
          <w:sz w:val="20"/>
          <w:szCs w:val="20"/>
        </w:rPr>
        <w:t>quanto</w:t>
      </w:r>
      <w:r>
        <w:rPr>
          <w:rFonts w:cs="Arial" w:ascii="Arial" w:hAnsi="Arial"/>
          <w:spacing w:val="1"/>
          <w:sz w:val="20"/>
          <w:szCs w:val="20"/>
        </w:rPr>
        <w:t xml:space="preserve"> </w:t>
      </w:r>
      <w:r>
        <w:rPr>
          <w:rFonts w:cs="Arial" w:ascii="Arial" w:hAnsi="Arial"/>
          <w:sz w:val="20"/>
          <w:szCs w:val="20"/>
        </w:rPr>
        <w:t>stabilito</w:t>
      </w:r>
      <w:r>
        <w:rPr>
          <w:rFonts w:cs="Arial" w:ascii="Arial" w:hAnsi="Arial"/>
          <w:spacing w:val="1"/>
          <w:sz w:val="20"/>
          <w:szCs w:val="20"/>
        </w:rPr>
        <w:t xml:space="preserve"> </w:t>
      </w:r>
      <w:r>
        <w:rPr>
          <w:rFonts w:cs="Arial" w:ascii="Arial" w:hAnsi="Arial"/>
          <w:sz w:val="20"/>
          <w:szCs w:val="20"/>
        </w:rPr>
        <w:t>dall’articolo 62 è istituito presso l’ANAC, che ne assicura la gestione e la</w:t>
      </w:r>
      <w:r>
        <w:rPr>
          <w:rFonts w:cs="Arial" w:ascii="Arial" w:hAnsi="Arial"/>
          <w:spacing w:val="1"/>
          <w:sz w:val="20"/>
          <w:szCs w:val="20"/>
        </w:rPr>
        <w:t xml:space="preserve"> </w:t>
      </w:r>
      <w:r>
        <w:rPr>
          <w:rFonts w:cs="Arial" w:ascii="Arial" w:hAnsi="Arial"/>
          <w:sz w:val="20"/>
          <w:szCs w:val="20"/>
        </w:rPr>
        <w:t>pubblicità, un elenco delle stazioni appaltanti qualificate di cui fanno parte, in</w:t>
      </w:r>
      <w:r>
        <w:rPr>
          <w:rFonts w:cs="Arial" w:ascii="Arial" w:hAnsi="Arial"/>
          <w:spacing w:val="1"/>
          <w:sz w:val="20"/>
          <w:szCs w:val="20"/>
        </w:rPr>
        <w:t xml:space="preserve"> </w:t>
      </w:r>
      <w:r>
        <w:rPr>
          <w:rFonts w:cs="Arial" w:ascii="Arial" w:hAnsi="Arial"/>
          <w:sz w:val="20"/>
          <w:szCs w:val="20"/>
        </w:rPr>
        <w:t>una</w:t>
      </w:r>
      <w:r>
        <w:rPr>
          <w:rFonts w:cs="Arial" w:ascii="Arial" w:hAnsi="Arial"/>
          <w:spacing w:val="-1"/>
          <w:sz w:val="20"/>
          <w:szCs w:val="20"/>
        </w:rPr>
        <w:t xml:space="preserve"> </w:t>
      </w:r>
      <w:r>
        <w:rPr>
          <w:rFonts w:cs="Arial" w:ascii="Arial" w:hAnsi="Arial"/>
          <w:sz w:val="20"/>
          <w:szCs w:val="20"/>
        </w:rPr>
        <w:t>specifica</w:t>
      </w:r>
      <w:r>
        <w:rPr>
          <w:rFonts w:cs="Arial" w:ascii="Arial" w:hAnsi="Arial"/>
          <w:spacing w:val="1"/>
          <w:sz w:val="20"/>
          <w:szCs w:val="20"/>
        </w:rPr>
        <w:t xml:space="preserve"> </w:t>
      </w:r>
      <w:r>
        <w:rPr>
          <w:rFonts w:cs="Arial" w:ascii="Arial" w:hAnsi="Arial"/>
          <w:sz w:val="20"/>
          <w:szCs w:val="20"/>
        </w:rPr>
        <w:t>sezione,</w:t>
      </w:r>
      <w:r>
        <w:rPr>
          <w:rFonts w:cs="Arial" w:ascii="Arial" w:hAnsi="Arial"/>
          <w:spacing w:val="-1"/>
          <w:sz w:val="20"/>
          <w:szCs w:val="20"/>
        </w:rPr>
        <w:t xml:space="preserve"> </w:t>
      </w:r>
      <w:r>
        <w:rPr>
          <w:rFonts w:cs="Arial" w:ascii="Arial" w:hAnsi="Arial"/>
          <w:sz w:val="20"/>
          <w:szCs w:val="20"/>
        </w:rPr>
        <w:t>anche</w:t>
      </w:r>
      <w:r>
        <w:rPr>
          <w:rFonts w:cs="Arial" w:ascii="Arial" w:hAnsi="Arial"/>
          <w:spacing w:val="1"/>
          <w:sz w:val="20"/>
          <w:szCs w:val="20"/>
        </w:rPr>
        <w:t xml:space="preserve"> </w:t>
      </w:r>
      <w:r>
        <w:rPr>
          <w:rFonts w:cs="Arial" w:ascii="Arial" w:hAnsi="Arial"/>
          <w:sz w:val="20"/>
          <w:szCs w:val="20"/>
        </w:rPr>
        <w:t>le</w:t>
      </w:r>
      <w:r>
        <w:rPr>
          <w:rFonts w:cs="Arial" w:ascii="Arial" w:hAnsi="Arial"/>
          <w:spacing w:val="-2"/>
          <w:sz w:val="20"/>
          <w:szCs w:val="20"/>
        </w:rPr>
        <w:t xml:space="preserve"> </w:t>
      </w:r>
      <w:r>
        <w:rPr>
          <w:rFonts w:cs="Arial" w:ascii="Arial" w:hAnsi="Arial"/>
          <w:sz w:val="20"/>
          <w:szCs w:val="20"/>
        </w:rPr>
        <w:t>centrali di</w:t>
      </w:r>
      <w:r>
        <w:rPr>
          <w:rFonts w:cs="Arial" w:ascii="Arial" w:hAnsi="Arial"/>
          <w:spacing w:val="-1"/>
          <w:sz w:val="20"/>
          <w:szCs w:val="20"/>
        </w:rPr>
        <w:t xml:space="preserve"> </w:t>
      </w:r>
      <w:r>
        <w:rPr>
          <w:rFonts w:cs="Arial" w:ascii="Arial" w:hAnsi="Arial"/>
          <w:sz w:val="20"/>
          <w:szCs w:val="20"/>
        </w:rPr>
        <w:t>committenza;</w:t>
      </w:r>
    </w:p>
    <w:p>
      <w:pPr>
        <w:pStyle w:val="ListParagraph"/>
        <w:numPr>
          <w:ilvl w:val="0"/>
          <w:numId w:val="2"/>
        </w:numPr>
        <w:tabs>
          <w:tab w:val="clear" w:pos="720"/>
          <w:tab w:val="left" w:pos="142" w:leader="none"/>
        </w:tabs>
        <w:spacing w:lineRule="auto" w:line="360"/>
        <w:ind w:left="142" w:right="113" w:hanging="142"/>
        <w:rPr>
          <w:rFonts w:ascii="Arial" w:hAnsi="Arial" w:cs="Arial"/>
          <w:sz w:val="20"/>
          <w:szCs w:val="20"/>
        </w:rPr>
      </w:pPr>
      <w:r>
        <w:rPr>
          <w:rFonts w:cs="Arial" w:ascii="Arial" w:hAnsi="Arial"/>
          <w:sz w:val="20"/>
          <w:szCs w:val="20"/>
        </w:rPr>
        <w:t>all’articolo</w:t>
      </w:r>
      <w:r>
        <w:rPr>
          <w:rFonts w:cs="Arial" w:ascii="Arial" w:hAnsi="Arial"/>
          <w:spacing w:val="1"/>
          <w:sz w:val="20"/>
          <w:szCs w:val="20"/>
        </w:rPr>
        <w:t xml:space="preserve"> </w:t>
      </w:r>
      <w:r>
        <w:rPr>
          <w:rFonts w:cs="Arial" w:ascii="Arial" w:hAnsi="Arial"/>
          <w:sz w:val="20"/>
          <w:szCs w:val="20"/>
        </w:rPr>
        <w:t>63, comma</w:t>
      </w:r>
      <w:r>
        <w:rPr>
          <w:rFonts w:cs="Arial" w:ascii="Arial" w:hAnsi="Arial"/>
          <w:spacing w:val="1"/>
          <w:sz w:val="20"/>
          <w:szCs w:val="20"/>
        </w:rPr>
        <w:t xml:space="preserve"> </w:t>
      </w:r>
      <w:r>
        <w:rPr>
          <w:rFonts w:cs="Arial" w:ascii="Arial" w:hAnsi="Arial"/>
          <w:sz w:val="20"/>
          <w:szCs w:val="20"/>
        </w:rPr>
        <w:t>4, stabilisce</w:t>
      </w:r>
      <w:r>
        <w:rPr>
          <w:rFonts w:cs="Arial" w:ascii="Arial" w:hAnsi="Arial"/>
          <w:spacing w:val="1"/>
          <w:sz w:val="20"/>
          <w:szCs w:val="20"/>
        </w:rPr>
        <w:t xml:space="preserve"> </w:t>
      </w:r>
      <w:r>
        <w:rPr>
          <w:rFonts w:cs="Arial" w:ascii="Arial" w:hAnsi="Arial"/>
          <w:sz w:val="20"/>
          <w:szCs w:val="20"/>
        </w:rPr>
        <w:t>che,</w:t>
      </w:r>
      <w:r>
        <w:rPr>
          <w:rFonts w:cs="Arial" w:ascii="Arial" w:hAnsi="Arial"/>
          <w:spacing w:val="1"/>
          <w:sz w:val="20"/>
          <w:szCs w:val="20"/>
        </w:rPr>
        <w:t xml:space="preserve"> </w:t>
      </w:r>
      <w:r>
        <w:rPr>
          <w:rFonts w:cs="Arial" w:ascii="Arial" w:hAnsi="Arial"/>
          <w:sz w:val="20"/>
          <w:szCs w:val="20"/>
        </w:rPr>
        <w:t>in sede</w:t>
      </w:r>
      <w:r>
        <w:rPr>
          <w:rFonts w:cs="Arial" w:ascii="Arial" w:hAnsi="Arial"/>
          <w:spacing w:val="1"/>
          <w:sz w:val="20"/>
          <w:szCs w:val="20"/>
        </w:rPr>
        <w:t xml:space="preserve"> </w:t>
      </w:r>
      <w:r>
        <w:rPr>
          <w:rFonts w:cs="Arial" w:ascii="Arial" w:hAnsi="Arial"/>
          <w:sz w:val="20"/>
          <w:szCs w:val="20"/>
        </w:rPr>
        <w:t>di</w:t>
      </w:r>
      <w:r>
        <w:rPr>
          <w:rFonts w:cs="Arial" w:ascii="Arial" w:hAnsi="Arial"/>
          <w:spacing w:val="1"/>
          <w:sz w:val="20"/>
          <w:szCs w:val="20"/>
        </w:rPr>
        <w:t xml:space="preserve"> </w:t>
      </w:r>
      <w:r>
        <w:rPr>
          <w:rFonts w:cs="Arial" w:ascii="Arial" w:hAnsi="Arial"/>
          <w:sz w:val="20"/>
          <w:szCs w:val="20"/>
        </w:rPr>
        <w:t>prima</w:t>
      </w:r>
      <w:r>
        <w:rPr>
          <w:rFonts w:cs="Arial" w:ascii="Arial" w:hAnsi="Arial"/>
          <w:spacing w:val="1"/>
          <w:sz w:val="20"/>
          <w:szCs w:val="20"/>
        </w:rPr>
        <w:t xml:space="preserve"> </w:t>
      </w:r>
      <w:r>
        <w:rPr>
          <w:rFonts w:cs="Arial" w:ascii="Arial" w:hAnsi="Arial"/>
          <w:sz w:val="20"/>
          <w:szCs w:val="20"/>
        </w:rPr>
        <w:t>applicazione,</w:t>
      </w:r>
      <w:r>
        <w:rPr>
          <w:rFonts w:cs="Arial" w:ascii="Arial" w:hAnsi="Arial"/>
          <w:spacing w:val="1"/>
          <w:sz w:val="20"/>
          <w:szCs w:val="20"/>
        </w:rPr>
        <w:t xml:space="preserve"> </w:t>
      </w:r>
      <w:r>
        <w:rPr>
          <w:rFonts w:cs="Arial" w:ascii="Arial" w:hAnsi="Arial"/>
          <w:sz w:val="20"/>
          <w:szCs w:val="20"/>
        </w:rPr>
        <w:t>le</w:t>
      </w:r>
      <w:r>
        <w:rPr>
          <w:rFonts w:cs="Arial" w:ascii="Arial" w:hAnsi="Arial"/>
          <w:spacing w:val="1"/>
          <w:sz w:val="20"/>
          <w:szCs w:val="20"/>
        </w:rPr>
        <w:t xml:space="preserve"> </w:t>
      </w:r>
      <w:r>
        <w:rPr>
          <w:rFonts w:cs="Arial" w:ascii="Arial" w:hAnsi="Arial"/>
          <w:sz w:val="20"/>
          <w:szCs w:val="20"/>
        </w:rPr>
        <w:t>stazioni appaltanti delle province sono iscritte con riserva nell’elenco delle</w:t>
      </w:r>
      <w:r>
        <w:rPr>
          <w:rFonts w:cs="Arial" w:ascii="Arial" w:hAnsi="Arial"/>
          <w:spacing w:val="1"/>
          <w:sz w:val="20"/>
          <w:szCs w:val="20"/>
        </w:rPr>
        <w:t xml:space="preserve"> </w:t>
      </w:r>
      <w:r>
        <w:rPr>
          <w:rFonts w:cs="Arial" w:ascii="Arial" w:hAnsi="Arial"/>
          <w:sz w:val="20"/>
          <w:szCs w:val="20"/>
        </w:rPr>
        <w:t>stazioni</w:t>
      </w:r>
      <w:r>
        <w:rPr>
          <w:rFonts w:cs="Arial" w:ascii="Arial" w:hAnsi="Arial"/>
          <w:spacing w:val="-1"/>
          <w:sz w:val="20"/>
          <w:szCs w:val="20"/>
        </w:rPr>
        <w:t xml:space="preserve"> </w:t>
      </w:r>
      <w:r>
        <w:rPr>
          <w:rFonts w:cs="Arial" w:ascii="Arial" w:hAnsi="Arial"/>
          <w:sz w:val="20"/>
          <w:szCs w:val="20"/>
        </w:rPr>
        <w:t>appaltanti</w:t>
      </w:r>
      <w:r>
        <w:rPr>
          <w:rFonts w:cs="Arial" w:ascii="Arial" w:hAnsi="Arial"/>
          <w:spacing w:val="1"/>
          <w:sz w:val="20"/>
          <w:szCs w:val="20"/>
        </w:rPr>
        <w:t xml:space="preserve"> </w:t>
      </w:r>
      <w:r>
        <w:rPr>
          <w:rFonts w:cs="Arial" w:ascii="Arial" w:hAnsi="Arial"/>
          <w:sz w:val="20"/>
          <w:szCs w:val="20"/>
        </w:rPr>
        <w:t>qualificate</w:t>
      </w:r>
      <w:r>
        <w:rPr>
          <w:rFonts w:cs="Arial" w:ascii="Arial" w:hAnsi="Arial"/>
          <w:spacing w:val="-2"/>
          <w:sz w:val="20"/>
          <w:szCs w:val="20"/>
        </w:rPr>
        <w:t xml:space="preserve"> </w:t>
      </w:r>
      <w:r>
        <w:rPr>
          <w:rFonts w:cs="Arial" w:ascii="Arial" w:hAnsi="Arial"/>
          <w:sz w:val="20"/>
          <w:szCs w:val="20"/>
        </w:rPr>
        <w:t>di</w:t>
      </w:r>
      <w:r>
        <w:rPr>
          <w:rFonts w:cs="Arial" w:ascii="Arial" w:hAnsi="Arial"/>
          <w:spacing w:val="-1"/>
          <w:sz w:val="20"/>
          <w:szCs w:val="20"/>
        </w:rPr>
        <w:t xml:space="preserve"> </w:t>
      </w:r>
      <w:r>
        <w:rPr>
          <w:rFonts w:cs="Arial" w:ascii="Arial" w:hAnsi="Arial"/>
          <w:sz w:val="20"/>
          <w:szCs w:val="20"/>
        </w:rPr>
        <w:t>cui</w:t>
      </w:r>
      <w:r>
        <w:rPr>
          <w:rFonts w:cs="Arial" w:ascii="Arial" w:hAnsi="Arial"/>
          <w:spacing w:val="-1"/>
          <w:sz w:val="20"/>
          <w:szCs w:val="20"/>
        </w:rPr>
        <w:t xml:space="preserve"> </w:t>
      </w:r>
      <w:r>
        <w:rPr>
          <w:rFonts w:cs="Arial" w:ascii="Arial" w:hAnsi="Arial"/>
          <w:sz w:val="20"/>
          <w:szCs w:val="20"/>
        </w:rPr>
        <w:t>all’art.</w:t>
      </w:r>
      <w:r>
        <w:rPr>
          <w:rFonts w:cs="Arial" w:ascii="Arial" w:hAnsi="Arial"/>
          <w:spacing w:val="-1"/>
          <w:sz w:val="20"/>
          <w:szCs w:val="20"/>
        </w:rPr>
        <w:t xml:space="preserve"> </w:t>
      </w:r>
      <w:r>
        <w:rPr>
          <w:rFonts w:cs="Arial" w:ascii="Arial" w:hAnsi="Arial"/>
          <w:sz w:val="20"/>
          <w:szCs w:val="20"/>
        </w:rPr>
        <w:t>63,</w:t>
      </w:r>
      <w:r>
        <w:rPr>
          <w:rFonts w:cs="Arial" w:ascii="Arial" w:hAnsi="Arial"/>
          <w:spacing w:val="-1"/>
          <w:sz w:val="20"/>
          <w:szCs w:val="20"/>
        </w:rPr>
        <w:t xml:space="preserve"> </w:t>
      </w:r>
      <w:r>
        <w:rPr>
          <w:rFonts w:cs="Arial" w:ascii="Arial" w:hAnsi="Arial"/>
          <w:sz w:val="20"/>
          <w:szCs w:val="20"/>
        </w:rPr>
        <w:t>comma</w:t>
      </w:r>
      <w:r>
        <w:rPr>
          <w:rFonts w:cs="Arial" w:ascii="Arial" w:hAnsi="Arial"/>
          <w:spacing w:val="-2"/>
          <w:sz w:val="20"/>
          <w:szCs w:val="20"/>
        </w:rPr>
        <w:t xml:space="preserve"> </w:t>
      </w:r>
      <w:r>
        <w:rPr>
          <w:rFonts w:cs="Arial" w:ascii="Arial" w:hAnsi="Arial"/>
          <w:sz w:val="20"/>
          <w:szCs w:val="20"/>
        </w:rPr>
        <w:t>1,</w:t>
      </w:r>
      <w:r>
        <w:rPr>
          <w:rFonts w:cs="Arial" w:ascii="Arial" w:hAnsi="Arial"/>
          <w:spacing w:val="-1"/>
          <w:sz w:val="20"/>
          <w:szCs w:val="20"/>
        </w:rPr>
        <w:t xml:space="preserve"> </w:t>
      </w:r>
      <w:r>
        <w:rPr>
          <w:rFonts w:cs="Arial" w:ascii="Arial" w:hAnsi="Arial"/>
          <w:sz w:val="20"/>
          <w:szCs w:val="20"/>
        </w:rPr>
        <w:t>primo</w:t>
      </w:r>
      <w:r>
        <w:rPr>
          <w:rFonts w:cs="Arial" w:ascii="Arial" w:hAnsi="Arial"/>
          <w:spacing w:val="-1"/>
          <w:sz w:val="20"/>
          <w:szCs w:val="20"/>
        </w:rPr>
        <w:t xml:space="preserve"> </w:t>
      </w:r>
      <w:r>
        <w:rPr>
          <w:rFonts w:cs="Arial" w:ascii="Arial" w:hAnsi="Arial"/>
          <w:sz w:val="20"/>
          <w:szCs w:val="20"/>
        </w:rPr>
        <w:t>periodo.</w:t>
      </w:r>
    </w:p>
    <w:p>
      <w:pPr>
        <w:pStyle w:val="ListParagraph"/>
        <w:numPr>
          <w:ilvl w:val="0"/>
          <w:numId w:val="2"/>
        </w:numPr>
        <w:tabs>
          <w:tab w:val="clear" w:pos="720"/>
          <w:tab w:val="left" w:pos="142" w:leader="none"/>
        </w:tabs>
        <w:spacing w:lineRule="auto" w:line="360"/>
        <w:ind w:left="142" w:right="113" w:hanging="142"/>
        <w:rPr>
          <w:rFonts w:ascii="Arial" w:hAnsi="Arial" w:cs="Arial"/>
          <w:sz w:val="20"/>
          <w:szCs w:val="20"/>
        </w:rPr>
      </w:pPr>
      <w:r>
        <w:rPr>
          <w:rFonts w:cs="Arial" w:ascii="Arial" w:hAnsi="Arial"/>
          <w:sz w:val="20"/>
          <w:szCs w:val="20"/>
        </w:rPr>
        <w:t>l’art. 62, comma 9, D.Lgs. 31 marzo 2023, n. 36 stabilisce che il ricorso alla centrale di committenza qualificata è formalizzato mediante un accordo ai sensi dell’articolo 30 del testo unico delle leggi sull'ordinamento degli enti locali, di cui al decreto legislativo 18 agosto 2000, n. 267, o ai sensi dell’articolo 15</w:t>
      </w:r>
      <w:r>
        <w:rPr>
          <w:rFonts w:cs="Arial" w:ascii="Arial" w:hAnsi="Arial"/>
          <w:spacing w:val="-13"/>
          <w:sz w:val="20"/>
          <w:szCs w:val="20"/>
        </w:rPr>
        <w:t xml:space="preserve"> </w:t>
      </w:r>
      <w:r>
        <w:rPr>
          <w:rFonts w:cs="Arial" w:ascii="Arial" w:hAnsi="Arial"/>
          <w:sz w:val="20"/>
          <w:szCs w:val="20"/>
        </w:rPr>
        <w:t>della</w:t>
      </w:r>
      <w:r>
        <w:rPr>
          <w:rFonts w:cs="Arial" w:ascii="Arial" w:hAnsi="Arial"/>
          <w:spacing w:val="-12"/>
          <w:sz w:val="20"/>
          <w:szCs w:val="20"/>
        </w:rPr>
        <w:t xml:space="preserve"> </w:t>
      </w:r>
      <w:r>
        <w:rPr>
          <w:rFonts w:cs="Arial" w:ascii="Arial" w:hAnsi="Arial"/>
          <w:sz w:val="20"/>
          <w:szCs w:val="20"/>
        </w:rPr>
        <w:t>legge</w:t>
      </w:r>
      <w:r>
        <w:rPr>
          <w:rFonts w:cs="Arial" w:ascii="Arial" w:hAnsi="Arial"/>
          <w:spacing w:val="-13"/>
          <w:sz w:val="20"/>
          <w:szCs w:val="20"/>
        </w:rPr>
        <w:t xml:space="preserve"> </w:t>
      </w:r>
      <w:r>
        <w:rPr>
          <w:rFonts w:cs="Arial" w:ascii="Arial" w:hAnsi="Arial"/>
          <w:sz w:val="20"/>
          <w:szCs w:val="20"/>
        </w:rPr>
        <w:t>7</w:t>
      </w:r>
      <w:r>
        <w:rPr>
          <w:rFonts w:cs="Arial" w:ascii="Arial" w:hAnsi="Arial"/>
          <w:spacing w:val="-12"/>
          <w:sz w:val="20"/>
          <w:szCs w:val="20"/>
        </w:rPr>
        <w:t xml:space="preserve"> </w:t>
      </w:r>
      <w:r>
        <w:rPr>
          <w:rFonts w:cs="Arial" w:ascii="Arial" w:hAnsi="Arial"/>
          <w:sz w:val="20"/>
          <w:szCs w:val="20"/>
        </w:rPr>
        <w:t>agosto</w:t>
      </w:r>
      <w:r>
        <w:rPr>
          <w:rFonts w:cs="Arial" w:ascii="Arial" w:hAnsi="Arial"/>
          <w:spacing w:val="-13"/>
          <w:sz w:val="20"/>
          <w:szCs w:val="20"/>
        </w:rPr>
        <w:t xml:space="preserve"> </w:t>
      </w:r>
      <w:r>
        <w:rPr>
          <w:rFonts w:cs="Arial" w:ascii="Arial" w:hAnsi="Arial"/>
          <w:sz w:val="20"/>
          <w:szCs w:val="20"/>
        </w:rPr>
        <w:t>1990,</w:t>
      </w:r>
      <w:r>
        <w:rPr>
          <w:rFonts w:cs="Arial" w:ascii="Arial" w:hAnsi="Arial"/>
          <w:spacing w:val="-12"/>
          <w:sz w:val="20"/>
          <w:szCs w:val="20"/>
        </w:rPr>
        <w:t xml:space="preserve"> </w:t>
      </w:r>
      <w:r>
        <w:rPr>
          <w:rFonts w:cs="Arial" w:ascii="Arial" w:hAnsi="Arial"/>
          <w:sz w:val="20"/>
          <w:szCs w:val="20"/>
        </w:rPr>
        <w:t>n.</w:t>
      </w:r>
      <w:r>
        <w:rPr>
          <w:rFonts w:cs="Arial" w:ascii="Arial" w:hAnsi="Arial"/>
          <w:spacing w:val="-13"/>
          <w:sz w:val="20"/>
          <w:szCs w:val="20"/>
        </w:rPr>
        <w:t xml:space="preserve"> </w:t>
      </w:r>
      <w:r>
        <w:rPr>
          <w:rFonts w:cs="Arial" w:ascii="Arial" w:hAnsi="Arial"/>
          <w:sz w:val="20"/>
          <w:szCs w:val="20"/>
        </w:rPr>
        <w:t>241,</w:t>
      </w:r>
      <w:r>
        <w:rPr>
          <w:rFonts w:cs="Arial" w:ascii="Arial" w:hAnsi="Arial"/>
          <w:spacing w:val="-12"/>
          <w:sz w:val="20"/>
          <w:szCs w:val="20"/>
        </w:rPr>
        <w:t xml:space="preserve"> </w:t>
      </w:r>
      <w:r>
        <w:rPr>
          <w:rFonts w:cs="Arial" w:ascii="Arial" w:hAnsi="Arial"/>
          <w:sz w:val="20"/>
          <w:szCs w:val="20"/>
        </w:rPr>
        <w:t>o</w:t>
      </w:r>
      <w:r>
        <w:rPr>
          <w:rFonts w:cs="Arial" w:ascii="Arial" w:hAnsi="Arial"/>
          <w:spacing w:val="-12"/>
          <w:sz w:val="20"/>
          <w:szCs w:val="20"/>
        </w:rPr>
        <w:t xml:space="preserve"> </w:t>
      </w:r>
      <w:r>
        <w:rPr>
          <w:rFonts w:cs="Arial" w:ascii="Arial" w:hAnsi="Arial"/>
          <w:sz w:val="20"/>
          <w:szCs w:val="20"/>
        </w:rPr>
        <w:t>mediante</w:t>
      </w:r>
      <w:r>
        <w:rPr>
          <w:rFonts w:cs="Arial" w:ascii="Arial" w:hAnsi="Arial"/>
          <w:spacing w:val="-13"/>
          <w:sz w:val="20"/>
          <w:szCs w:val="20"/>
        </w:rPr>
        <w:t xml:space="preserve"> </w:t>
      </w:r>
      <w:r>
        <w:rPr>
          <w:rFonts w:cs="Arial" w:ascii="Arial" w:hAnsi="Arial"/>
          <w:sz w:val="20"/>
          <w:szCs w:val="20"/>
        </w:rPr>
        <w:t>altra</w:t>
      </w:r>
      <w:r>
        <w:rPr>
          <w:rFonts w:cs="Arial" w:ascii="Arial" w:hAnsi="Arial"/>
          <w:spacing w:val="-12"/>
          <w:sz w:val="20"/>
          <w:szCs w:val="20"/>
        </w:rPr>
        <w:t xml:space="preserve"> </w:t>
      </w:r>
      <w:r>
        <w:rPr>
          <w:rFonts w:cs="Arial" w:ascii="Arial" w:hAnsi="Arial"/>
          <w:sz w:val="20"/>
          <w:szCs w:val="20"/>
        </w:rPr>
        <w:t>modalità</w:t>
      </w:r>
      <w:r>
        <w:rPr>
          <w:rFonts w:cs="Arial" w:ascii="Arial" w:hAnsi="Arial"/>
          <w:spacing w:val="-13"/>
          <w:sz w:val="20"/>
          <w:szCs w:val="20"/>
        </w:rPr>
        <w:t xml:space="preserve"> </w:t>
      </w:r>
      <w:r>
        <w:rPr>
          <w:rFonts w:cs="Arial" w:ascii="Arial" w:hAnsi="Arial"/>
          <w:sz w:val="20"/>
          <w:szCs w:val="20"/>
        </w:rPr>
        <w:t>disciplinante</w:t>
      </w:r>
      <w:r>
        <w:rPr>
          <w:rFonts w:cs="Arial" w:ascii="Arial" w:hAnsi="Arial"/>
          <w:spacing w:val="-12"/>
          <w:sz w:val="20"/>
          <w:szCs w:val="20"/>
        </w:rPr>
        <w:t xml:space="preserve"> </w:t>
      </w:r>
      <w:r>
        <w:rPr>
          <w:rFonts w:cs="Arial" w:ascii="Arial" w:hAnsi="Arial"/>
          <w:sz w:val="20"/>
          <w:szCs w:val="20"/>
        </w:rPr>
        <w:t>i</w:t>
      </w:r>
      <w:r>
        <w:rPr>
          <w:rFonts w:cs="Arial" w:ascii="Arial" w:hAnsi="Arial"/>
          <w:spacing w:val="-13"/>
          <w:sz w:val="20"/>
          <w:szCs w:val="20"/>
        </w:rPr>
        <w:t xml:space="preserve"> </w:t>
      </w:r>
      <w:r>
        <w:rPr>
          <w:rFonts w:cs="Arial" w:ascii="Arial" w:hAnsi="Arial"/>
          <w:sz w:val="20"/>
          <w:szCs w:val="20"/>
        </w:rPr>
        <w:t>rapporti</w:t>
      </w:r>
      <w:r>
        <w:rPr>
          <w:rFonts w:cs="Arial" w:ascii="Arial" w:hAnsi="Arial"/>
          <w:spacing w:val="-12"/>
          <w:sz w:val="20"/>
          <w:szCs w:val="20"/>
        </w:rPr>
        <w:t xml:space="preserve"> </w:t>
      </w:r>
      <w:r>
        <w:rPr>
          <w:rFonts w:cs="Arial" w:ascii="Arial" w:hAnsi="Arial"/>
          <w:sz w:val="20"/>
          <w:szCs w:val="20"/>
        </w:rPr>
        <w:t>in</w:t>
      </w:r>
      <w:r>
        <w:rPr>
          <w:rFonts w:cs="Arial" w:ascii="Arial" w:hAnsi="Arial"/>
          <w:spacing w:val="-12"/>
          <w:sz w:val="20"/>
          <w:szCs w:val="20"/>
        </w:rPr>
        <w:t xml:space="preserve"> </w:t>
      </w:r>
      <w:r>
        <w:rPr>
          <w:rFonts w:cs="Arial" w:ascii="Arial" w:hAnsi="Arial"/>
          <w:sz w:val="20"/>
          <w:szCs w:val="20"/>
        </w:rPr>
        <w:t>funzione</w:t>
      </w:r>
      <w:r>
        <w:rPr>
          <w:rFonts w:cs="Arial" w:ascii="Arial" w:hAnsi="Arial"/>
          <w:spacing w:val="-13"/>
          <w:sz w:val="20"/>
          <w:szCs w:val="20"/>
        </w:rPr>
        <w:t xml:space="preserve"> </w:t>
      </w:r>
      <w:r>
        <w:rPr>
          <w:rFonts w:cs="Arial" w:ascii="Arial" w:hAnsi="Arial"/>
          <w:sz w:val="20"/>
          <w:szCs w:val="20"/>
        </w:rPr>
        <w:t>della</w:t>
      </w:r>
      <w:r>
        <w:rPr>
          <w:rFonts w:cs="Arial" w:ascii="Arial" w:hAnsi="Arial"/>
          <w:spacing w:val="-12"/>
          <w:sz w:val="20"/>
          <w:szCs w:val="20"/>
        </w:rPr>
        <w:t xml:space="preserve"> </w:t>
      </w:r>
      <w:r>
        <w:rPr>
          <w:rFonts w:cs="Arial" w:ascii="Arial" w:hAnsi="Arial"/>
          <w:sz w:val="20"/>
          <w:szCs w:val="20"/>
        </w:rPr>
        <w:t>natura giuridica della centrale di committenza.</w:t>
      </w:r>
    </w:p>
    <w:p>
      <w:pPr>
        <w:pStyle w:val="ListParagraph"/>
        <w:numPr>
          <w:ilvl w:val="0"/>
          <w:numId w:val="2"/>
        </w:numPr>
        <w:tabs>
          <w:tab w:val="clear" w:pos="720"/>
          <w:tab w:val="left" w:pos="142" w:leader="none"/>
        </w:tabs>
        <w:spacing w:lineRule="auto" w:line="360"/>
        <w:ind w:left="142" w:right="113" w:hanging="142"/>
        <w:rPr>
          <w:rFonts w:ascii="Arial" w:hAnsi="Arial" w:cs="Arial"/>
          <w:sz w:val="20"/>
          <w:szCs w:val="20"/>
        </w:rPr>
      </w:pPr>
      <w:r>
        <w:rPr>
          <w:rFonts w:cs="Arial" w:ascii="Arial" w:hAnsi="Arial"/>
          <w:sz w:val="20"/>
          <w:szCs w:val="20"/>
        </w:rPr>
        <w:t>l’art. 1, lett. i,</w:t>
      </w:r>
      <w:r>
        <w:rPr>
          <w:rFonts w:cs="Arial" w:ascii="Arial" w:hAnsi="Arial"/>
          <w:spacing w:val="40"/>
          <w:sz w:val="20"/>
          <w:szCs w:val="20"/>
        </w:rPr>
        <w:t xml:space="preserve"> </w:t>
      </w:r>
      <w:r>
        <w:rPr>
          <w:rFonts w:cs="Arial" w:ascii="Arial" w:hAnsi="Arial"/>
          <w:sz w:val="20"/>
          <w:szCs w:val="20"/>
        </w:rPr>
        <w:t xml:space="preserve">dell’Allegato I.1 del D.Lgs. 31 marzo 2023, n. 36 definisce la Centrale di Committenza come “una stazione appaltante o ente concedente che fornisce attività di centralizzazione delle committenza in favore di altre stazioni appaltanti o enti concedenti e, se del caso, attività di supporto all’attività di </w:t>
      </w:r>
      <w:r>
        <w:rPr>
          <w:rFonts w:cs="Arial" w:ascii="Arial" w:hAnsi="Arial"/>
          <w:spacing w:val="-2"/>
          <w:sz w:val="20"/>
          <w:szCs w:val="20"/>
        </w:rPr>
        <w:t>committenza”;</w:t>
      </w:r>
    </w:p>
    <w:p>
      <w:pPr>
        <w:pStyle w:val="ListParagraph"/>
        <w:numPr>
          <w:ilvl w:val="0"/>
          <w:numId w:val="2"/>
        </w:numPr>
        <w:tabs>
          <w:tab w:val="clear" w:pos="720"/>
          <w:tab w:val="left" w:pos="142" w:leader="none"/>
        </w:tabs>
        <w:spacing w:lineRule="auto" w:line="360"/>
        <w:ind w:left="142" w:right="113" w:hanging="142"/>
        <w:rPr>
          <w:rFonts w:ascii="Arial" w:hAnsi="Arial" w:cs="Arial"/>
          <w:sz w:val="20"/>
          <w:szCs w:val="20"/>
        </w:rPr>
      </w:pPr>
      <w:r>
        <w:rPr>
          <w:rFonts w:cs="Arial" w:ascii="Arial" w:hAnsi="Arial"/>
          <w:sz w:val="20"/>
          <w:szCs w:val="20"/>
        </w:rPr>
        <w:t>Che l’articolo 13 della legge 13 agosto 2010, n. 136, stabilisce che con decreto del</w:t>
      </w:r>
      <w:r>
        <w:rPr>
          <w:rFonts w:cs="Arial" w:ascii="Arial" w:hAnsi="Arial"/>
          <w:spacing w:val="1"/>
          <w:sz w:val="20"/>
          <w:szCs w:val="20"/>
        </w:rPr>
        <w:t xml:space="preserve"> </w:t>
      </w:r>
      <w:r>
        <w:rPr>
          <w:rFonts w:cs="Arial" w:ascii="Arial" w:hAnsi="Arial"/>
          <w:sz w:val="20"/>
          <w:szCs w:val="20"/>
        </w:rPr>
        <w:t>Presidente del Consiglio dei ministri vengono definite le modalità per promuovere</w:t>
      </w:r>
      <w:r>
        <w:rPr>
          <w:rFonts w:cs="Arial" w:ascii="Arial" w:hAnsi="Arial"/>
          <w:spacing w:val="1"/>
          <w:sz w:val="20"/>
          <w:szCs w:val="20"/>
        </w:rPr>
        <w:t xml:space="preserve"> </w:t>
      </w:r>
      <w:r>
        <w:rPr>
          <w:rFonts w:cs="Arial" w:ascii="Arial" w:hAnsi="Arial"/>
          <w:sz w:val="20"/>
          <w:szCs w:val="20"/>
        </w:rPr>
        <w:t>l’istituzione, in ambito regionale, di una o più stazioni uniche appaltanti (SUA), al fine</w:t>
      </w:r>
      <w:r>
        <w:rPr>
          <w:rFonts w:cs="Arial" w:ascii="Arial" w:hAnsi="Arial"/>
          <w:spacing w:val="1"/>
          <w:sz w:val="20"/>
          <w:szCs w:val="20"/>
        </w:rPr>
        <w:t xml:space="preserve"> </w:t>
      </w:r>
      <w:r>
        <w:rPr>
          <w:rFonts w:cs="Arial" w:ascii="Arial" w:hAnsi="Arial"/>
          <w:sz w:val="20"/>
          <w:szCs w:val="20"/>
        </w:rPr>
        <w:t>di assicurare la trasparenza, la regolarità e l’economicità della gestione dei contratti</w:t>
      </w:r>
      <w:r>
        <w:rPr>
          <w:rFonts w:cs="Arial" w:ascii="Arial" w:hAnsi="Arial"/>
          <w:spacing w:val="1"/>
          <w:sz w:val="20"/>
          <w:szCs w:val="20"/>
        </w:rPr>
        <w:t xml:space="preserve"> </w:t>
      </w:r>
      <w:r>
        <w:rPr>
          <w:rFonts w:cs="Arial" w:ascii="Arial" w:hAnsi="Arial"/>
          <w:sz w:val="20"/>
          <w:szCs w:val="20"/>
        </w:rPr>
        <w:t>pubblici</w:t>
      </w:r>
      <w:r>
        <w:rPr>
          <w:rFonts w:cs="Arial" w:ascii="Arial" w:hAnsi="Arial"/>
          <w:spacing w:val="-2"/>
          <w:sz w:val="20"/>
          <w:szCs w:val="20"/>
        </w:rPr>
        <w:t xml:space="preserve"> </w:t>
      </w:r>
      <w:r>
        <w:rPr>
          <w:rFonts w:cs="Arial" w:ascii="Arial" w:hAnsi="Arial"/>
          <w:sz w:val="20"/>
          <w:szCs w:val="20"/>
        </w:rPr>
        <w:t>e</w:t>
      </w:r>
      <w:r>
        <w:rPr>
          <w:rFonts w:cs="Arial" w:ascii="Arial" w:hAnsi="Arial"/>
          <w:spacing w:val="-2"/>
          <w:sz w:val="20"/>
          <w:szCs w:val="20"/>
        </w:rPr>
        <w:t xml:space="preserve"> </w:t>
      </w:r>
      <w:r>
        <w:rPr>
          <w:rFonts w:cs="Arial" w:ascii="Arial" w:hAnsi="Arial"/>
          <w:sz w:val="20"/>
          <w:szCs w:val="20"/>
        </w:rPr>
        <w:t>di</w:t>
      </w:r>
      <w:r>
        <w:rPr>
          <w:rFonts w:cs="Arial" w:ascii="Arial" w:hAnsi="Arial"/>
          <w:spacing w:val="-1"/>
          <w:sz w:val="20"/>
          <w:szCs w:val="20"/>
        </w:rPr>
        <w:t xml:space="preserve"> </w:t>
      </w:r>
      <w:r>
        <w:rPr>
          <w:rFonts w:cs="Arial" w:ascii="Arial" w:hAnsi="Arial"/>
          <w:sz w:val="20"/>
          <w:szCs w:val="20"/>
        </w:rPr>
        <w:t>prevenire</w:t>
      </w:r>
      <w:r>
        <w:rPr>
          <w:rFonts w:cs="Arial" w:ascii="Arial" w:hAnsi="Arial"/>
          <w:spacing w:val="-2"/>
          <w:sz w:val="20"/>
          <w:szCs w:val="20"/>
        </w:rPr>
        <w:t xml:space="preserve"> </w:t>
      </w:r>
      <w:r>
        <w:rPr>
          <w:rFonts w:cs="Arial" w:ascii="Arial" w:hAnsi="Arial"/>
          <w:sz w:val="20"/>
          <w:szCs w:val="20"/>
        </w:rPr>
        <w:t>il</w:t>
      </w:r>
      <w:r>
        <w:rPr>
          <w:rFonts w:cs="Arial" w:ascii="Arial" w:hAnsi="Arial"/>
          <w:spacing w:val="-1"/>
          <w:sz w:val="20"/>
          <w:szCs w:val="20"/>
        </w:rPr>
        <w:t xml:space="preserve"> </w:t>
      </w:r>
      <w:r>
        <w:rPr>
          <w:rFonts w:cs="Arial" w:ascii="Arial" w:hAnsi="Arial"/>
          <w:sz w:val="20"/>
          <w:szCs w:val="20"/>
        </w:rPr>
        <w:t>rischio di</w:t>
      </w:r>
      <w:r>
        <w:rPr>
          <w:rFonts w:cs="Arial" w:ascii="Arial" w:hAnsi="Arial"/>
          <w:spacing w:val="-1"/>
          <w:sz w:val="20"/>
          <w:szCs w:val="20"/>
        </w:rPr>
        <w:t xml:space="preserve"> </w:t>
      </w:r>
      <w:r>
        <w:rPr>
          <w:rFonts w:cs="Arial" w:ascii="Arial" w:hAnsi="Arial"/>
          <w:sz w:val="20"/>
          <w:szCs w:val="20"/>
        </w:rPr>
        <w:t>infiltrazioni</w:t>
      </w:r>
      <w:r>
        <w:rPr>
          <w:rFonts w:cs="Arial" w:ascii="Arial" w:hAnsi="Arial"/>
          <w:spacing w:val="-1"/>
          <w:sz w:val="20"/>
          <w:szCs w:val="20"/>
        </w:rPr>
        <w:t xml:space="preserve"> </w:t>
      </w:r>
      <w:r>
        <w:rPr>
          <w:rFonts w:cs="Arial" w:ascii="Arial" w:hAnsi="Arial"/>
          <w:sz w:val="20"/>
          <w:szCs w:val="20"/>
        </w:rPr>
        <w:t>mafiose nell’economia</w:t>
      </w:r>
      <w:r>
        <w:rPr>
          <w:rFonts w:cs="Arial" w:ascii="Arial" w:hAnsi="Arial"/>
          <w:spacing w:val="-2"/>
          <w:sz w:val="20"/>
          <w:szCs w:val="20"/>
        </w:rPr>
        <w:t xml:space="preserve"> </w:t>
      </w:r>
      <w:r>
        <w:rPr>
          <w:rFonts w:cs="Arial" w:ascii="Arial" w:hAnsi="Arial"/>
          <w:sz w:val="20"/>
          <w:szCs w:val="20"/>
        </w:rPr>
        <w:t>legale;</w:t>
      </w:r>
    </w:p>
    <w:p>
      <w:pPr>
        <w:pStyle w:val="ListParagraph"/>
        <w:numPr>
          <w:ilvl w:val="0"/>
          <w:numId w:val="2"/>
        </w:numPr>
        <w:tabs>
          <w:tab w:val="clear" w:pos="720"/>
          <w:tab w:val="left" w:pos="142" w:leader="none"/>
        </w:tabs>
        <w:spacing w:lineRule="auto" w:line="360"/>
        <w:ind w:left="142" w:right="113" w:hanging="142"/>
        <w:rPr>
          <w:rFonts w:ascii="Arial" w:hAnsi="Arial" w:cs="Arial"/>
          <w:sz w:val="20"/>
          <w:szCs w:val="20"/>
        </w:rPr>
      </w:pPr>
      <w:r>
        <w:rPr>
          <w:rFonts w:cs="Arial" w:ascii="Arial" w:hAnsi="Arial"/>
          <w:sz w:val="20"/>
          <w:szCs w:val="20"/>
        </w:rPr>
        <w:t>Che il decreto del Presidente del Consiglio dei Ministri 30 giugno 2011, recante</w:t>
      </w:r>
      <w:r>
        <w:rPr>
          <w:rFonts w:cs="Arial" w:ascii="Arial" w:hAnsi="Arial"/>
          <w:spacing w:val="1"/>
          <w:sz w:val="20"/>
          <w:szCs w:val="20"/>
        </w:rPr>
        <w:t xml:space="preserve"> </w:t>
      </w:r>
      <w:r>
        <w:rPr>
          <w:rFonts w:cs="Arial" w:ascii="Arial" w:hAnsi="Arial"/>
          <w:sz w:val="20"/>
          <w:szCs w:val="20"/>
        </w:rPr>
        <w:t>“Stazione</w:t>
      </w:r>
      <w:r>
        <w:rPr>
          <w:rFonts w:cs="Arial" w:ascii="Arial" w:hAnsi="Arial"/>
          <w:spacing w:val="13"/>
          <w:sz w:val="20"/>
          <w:szCs w:val="20"/>
        </w:rPr>
        <w:t xml:space="preserve"> </w:t>
      </w:r>
      <w:r>
        <w:rPr>
          <w:rFonts w:cs="Arial" w:ascii="Arial" w:hAnsi="Arial"/>
          <w:sz w:val="20"/>
          <w:szCs w:val="20"/>
        </w:rPr>
        <w:t>Unica</w:t>
      </w:r>
      <w:r>
        <w:rPr>
          <w:rFonts w:cs="Arial" w:ascii="Arial" w:hAnsi="Arial"/>
          <w:spacing w:val="-3"/>
          <w:sz w:val="20"/>
          <w:szCs w:val="20"/>
        </w:rPr>
        <w:t xml:space="preserve"> </w:t>
      </w:r>
      <w:r>
        <w:rPr>
          <w:rFonts w:cs="Arial" w:ascii="Arial" w:hAnsi="Arial"/>
          <w:sz w:val="20"/>
          <w:szCs w:val="20"/>
        </w:rPr>
        <w:t>Appaltante,</w:t>
      </w:r>
      <w:r>
        <w:rPr>
          <w:rFonts w:cs="Arial" w:ascii="Arial" w:hAnsi="Arial"/>
          <w:spacing w:val="13"/>
          <w:sz w:val="20"/>
          <w:szCs w:val="20"/>
        </w:rPr>
        <w:t xml:space="preserve"> </w:t>
      </w:r>
      <w:r>
        <w:rPr>
          <w:rFonts w:cs="Arial" w:ascii="Arial" w:hAnsi="Arial"/>
          <w:sz w:val="20"/>
          <w:szCs w:val="20"/>
        </w:rPr>
        <w:t>in</w:t>
      </w:r>
      <w:r>
        <w:rPr>
          <w:rFonts w:cs="Arial" w:ascii="Arial" w:hAnsi="Arial"/>
          <w:spacing w:val="11"/>
          <w:sz w:val="20"/>
          <w:szCs w:val="20"/>
        </w:rPr>
        <w:t xml:space="preserve"> </w:t>
      </w:r>
      <w:r>
        <w:rPr>
          <w:rFonts w:cs="Arial" w:ascii="Arial" w:hAnsi="Arial"/>
          <w:sz w:val="20"/>
          <w:szCs w:val="20"/>
        </w:rPr>
        <w:t>attuazione</w:t>
      </w:r>
      <w:r>
        <w:rPr>
          <w:rFonts w:cs="Arial" w:ascii="Arial" w:hAnsi="Arial"/>
          <w:spacing w:val="13"/>
          <w:sz w:val="20"/>
          <w:szCs w:val="20"/>
        </w:rPr>
        <w:t xml:space="preserve"> </w:t>
      </w:r>
      <w:r>
        <w:rPr>
          <w:rFonts w:cs="Arial" w:ascii="Arial" w:hAnsi="Arial"/>
          <w:sz w:val="20"/>
          <w:szCs w:val="20"/>
        </w:rPr>
        <w:t>dell’articolo</w:t>
      </w:r>
      <w:r>
        <w:rPr>
          <w:rFonts w:cs="Arial" w:ascii="Arial" w:hAnsi="Arial"/>
          <w:spacing w:val="11"/>
          <w:sz w:val="20"/>
          <w:szCs w:val="20"/>
        </w:rPr>
        <w:t xml:space="preserve"> </w:t>
      </w:r>
      <w:r>
        <w:rPr>
          <w:rFonts w:cs="Arial" w:ascii="Arial" w:hAnsi="Arial"/>
          <w:sz w:val="20"/>
          <w:szCs w:val="20"/>
        </w:rPr>
        <w:t>13</w:t>
      </w:r>
      <w:r>
        <w:rPr>
          <w:rFonts w:cs="Arial" w:ascii="Arial" w:hAnsi="Arial"/>
          <w:spacing w:val="13"/>
          <w:sz w:val="20"/>
          <w:szCs w:val="20"/>
        </w:rPr>
        <w:t xml:space="preserve"> </w:t>
      </w:r>
      <w:r>
        <w:rPr>
          <w:rFonts w:cs="Arial" w:ascii="Arial" w:hAnsi="Arial"/>
          <w:sz w:val="20"/>
          <w:szCs w:val="20"/>
        </w:rPr>
        <w:t>della</w:t>
      </w:r>
      <w:r>
        <w:rPr>
          <w:rFonts w:cs="Arial" w:ascii="Arial" w:hAnsi="Arial"/>
          <w:spacing w:val="11"/>
          <w:sz w:val="20"/>
          <w:szCs w:val="20"/>
        </w:rPr>
        <w:t xml:space="preserve"> </w:t>
      </w:r>
      <w:r>
        <w:rPr>
          <w:rFonts w:cs="Arial" w:ascii="Arial" w:hAnsi="Arial"/>
          <w:sz w:val="20"/>
          <w:szCs w:val="20"/>
        </w:rPr>
        <w:t>legge</w:t>
      </w:r>
      <w:r>
        <w:rPr>
          <w:rFonts w:cs="Arial" w:ascii="Arial" w:hAnsi="Arial"/>
          <w:spacing w:val="13"/>
          <w:sz w:val="20"/>
          <w:szCs w:val="20"/>
        </w:rPr>
        <w:t xml:space="preserve"> </w:t>
      </w:r>
      <w:r>
        <w:rPr>
          <w:rFonts w:cs="Arial" w:ascii="Arial" w:hAnsi="Arial"/>
          <w:sz w:val="20"/>
          <w:szCs w:val="20"/>
        </w:rPr>
        <w:t>13</w:t>
      </w:r>
      <w:r>
        <w:rPr>
          <w:rFonts w:cs="Arial" w:ascii="Arial" w:hAnsi="Arial"/>
          <w:spacing w:val="13"/>
          <w:sz w:val="20"/>
          <w:szCs w:val="20"/>
        </w:rPr>
        <w:t xml:space="preserve"> </w:t>
      </w:r>
      <w:r>
        <w:rPr>
          <w:rFonts w:cs="Arial" w:ascii="Arial" w:hAnsi="Arial"/>
          <w:sz w:val="20"/>
          <w:szCs w:val="20"/>
        </w:rPr>
        <w:t>agosto</w:t>
      </w:r>
      <w:r>
        <w:rPr>
          <w:rFonts w:cs="Arial" w:ascii="Arial" w:hAnsi="Arial"/>
          <w:spacing w:val="13"/>
          <w:sz w:val="20"/>
          <w:szCs w:val="20"/>
        </w:rPr>
        <w:t xml:space="preserve"> </w:t>
      </w:r>
      <w:r>
        <w:rPr>
          <w:rFonts w:cs="Arial" w:ascii="Arial" w:hAnsi="Arial"/>
          <w:sz w:val="20"/>
          <w:szCs w:val="20"/>
        </w:rPr>
        <w:t>2010, n.</w:t>
      </w:r>
      <w:r>
        <w:rPr>
          <w:rFonts w:cs="Arial" w:ascii="Arial" w:hAnsi="Arial"/>
          <w:spacing w:val="15"/>
          <w:sz w:val="20"/>
          <w:szCs w:val="20"/>
        </w:rPr>
        <w:t xml:space="preserve"> </w:t>
      </w:r>
      <w:r>
        <w:rPr>
          <w:rFonts w:cs="Arial" w:ascii="Arial" w:hAnsi="Arial"/>
          <w:sz w:val="20"/>
          <w:szCs w:val="20"/>
        </w:rPr>
        <w:t>136</w:t>
      </w:r>
      <w:r>
        <w:rPr>
          <w:rFonts w:cs="Arial" w:ascii="Arial" w:hAnsi="Arial"/>
          <w:spacing w:val="14"/>
          <w:sz w:val="20"/>
          <w:szCs w:val="20"/>
        </w:rPr>
        <w:t xml:space="preserve"> </w:t>
      </w:r>
      <w:r>
        <w:rPr>
          <w:rFonts w:cs="Arial" w:ascii="Arial" w:hAnsi="Arial"/>
          <w:sz w:val="20"/>
          <w:szCs w:val="20"/>
        </w:rPr>
        <w:t>–</w:t>
      </w:r>
      <w:r>
        <w:rPr>
          <w:rFonts w:cs="Arial" w:ascii="Arial" w:hAnsi="Arial"/>
          <w:spacing w:val="15"/>
          <w:sz w:val="20"/>
          <w:szCs w:val="20"/>
        </w:rPr>
        <w:t xml:space="preserve"> </w:t>
      </w:r>
      <w:r>
        <w:rPr>
          <w:rFonts w:cs="Arial" w:ascii="Arial" w:hAnsi="Arial"/>
          <w:sz w:val="20"/>
          <w:szCs w:val="20"/>
        </w:rPr>
        <w:t>Piano</w:t>
      </w:r>
      <w:r>
        <w:rPr>
          <w:rFonts w:cs="Arial" w:ascii="Arial" w:hAnsi="Arial"/>
          <w:spacing w:val="14"/>
          <w:sz w:val="20"/>
          <w:szCs w:val="20"/>
        </w:rPr>
        <w:t xml:space="preserve"> </w:t>
      </w:r>
      <w:r>
        <w:rPr>
          <w:rFonts w:cs="Arial" w:ascii="Arial" w:hAnsi="Arial"/>
          <w:sz w:val="20"/>
          <w:szCs w:val="20"/>
        </w:rPr>
        <w:t>straordinario</w:t>
      </w:r>
      <w:r>
        <w:rPr>
          <w:rFonts w:cs="Arial" w:ascii="Arial" w:hAnsi="Arial"/>
          <w:spacing w:val="13"/>
          <w:sz w:val="20"/>
          <w:szCs w:val="20"/>
        </w:rPr>
        <w:t xml:space="preserve"> </w:t>
      </w:r>
      <w:r>
        <w:rPr>
          <w:rFonts w:cs="Arial" w:ascii="Arial" w:hAnsi="Arial"/>
          <w:sz w:val="20"/>
          <w:szCs w:val="20"/>
        </w:rPr>
        <w:t>contro</w:t>
      </w:r>
      <w:r>
        <w:rPr>
          <w:rFonts w:cs="Arial" w:ascii="Arial" w:hAnsi="Arial"/>
          <w:spacing w:val="14"/>
          <w:sz w:val="20"/>
          <w:szCs w:val="20"/>
        </w:rPr>
        <w:t xml:space="preserve"> </w:t>
      </w:r>
      <w:r>
        <w:rPr>
          <w:rFonts w:cs="Arial" w:ascii="Arial" w:hAnsi="Arial"/>
          <w:sz w:val="20"/>
          <w:szCs w:val="20"/>
        </w:rPr>
        <w:t>le</w:t>
      </w:r>
      <w:r>
        <w:rPr>
          <w:rFonts w:cs="Arial" w:ascii="Arial" w:hAnsi="Arial"/>
          <w:spacing w:val="15"/>
          <w:sz w:val="20"/>
          <w:szCs w:val="20"/>
        </w:rPr>
        <w:t xml:space="preserve"> </w:t>
      </w:r>
      <w:r>
        <w:rPr>
          <w:rFonts w:cs="Arial" w:ascii="Arial" w:hAnsi="Arial"/>
          <w:sz w:val="20"/>
          <w:szCs w:val="20"/>
        </w:rPr>
        <w:t>mafie”,</w:t>
      </w:r>
      <w:r>
        <w:rPr>
          <w:rFonts w:cs="Arial" w:ascii="Arial" w:hAnsi="Arial"/>
          <w:spacing w:val="16"/>
          <w:sz w:val="20"/>
          <w:szCs w:val="20"/>
        </w:rPr>
        <w:t xml:space="preserve"> </w:t>
      </w:r>
      <w:r>
        <w:rPr>
          <w:rFonts w:cs="Arial" w:ascii="Arial" w:hAnsi="Arial"/>
          <w:sz w:val="20"/>
          <w:szCs w:val="20"/>
        </w:rPr>
        <w:t>ha</w:t>
      </w:r>
      <w:r>
        <w:rPr>
          <w:rFonts w:cs="Arial" w:ascii="Arial" w:hAnsi="Arial"/>
          <w:spacing w:val="15"/>
          <w:sz w:val="20"/>
          <w:szCs w:val="20"/>
        </w:rPr>
        <w:t xml:space="preserve"> </w:t>
      </w:r>
      <w:r>
        <w:rPr>
          <w:rFonts w:cs="Arial" w:ascii="Arial" w:hAnsi="Arial"/>
          <w:sz w:val="20"/>
          <w:szCs w:val="20"/>
        </w:rPr>
        <w:t>disciplinato</w:t>
      </w:r>
      <w:r>
        <w:rPr>
          <w:rFonts w:cs="Arial" w:ascii="Arial" w:hAnsi="Arial"/>
          <w:spacing w:val="16"/>
          <w:sz w:val="20"/>
          <w:szCs w:val="20"/>
        </w:rPr>
        <w:t xml:space="preserve"> </w:t>
      </w:r>
      <w:r>
        <w:rPr>
          <w:rFonts w:cs="Arial" w:ascii="Arial" w:hAnsi="Arial"/>
          <w:sz w:val="20"/>
          <w:szCs w:val="20"/>
        </w:rPr>
        <w:t>le</w:t>
      </w:r>
      <w:r>
        <w:rPr>
          <w:rFonts w:cs="Arial" w:ascii="Arial" w:hAnsi="Arial"/>
          <w:spacing w:val="13"/>
          <w:sz w:val="20"/>
          <w:szCs w:val="20"/>
        </w:rPr>
        <w:t xml:space="preserve"> </w:t>
      </w:r>
      <w:r>
        <w:rPr>
          <w:rFonts w:cs="Arial" w:ascii="Arial" w:hAnsi="Arial"/>
          <w:sz w:val="20"/>
          <w:szCs w:val="20"/>
        </w:rPr>
        <w:t>attività</w:t>
      </w:r>
      <w:r>
        <w:rPr>
          <w:rFonts w:cs="Arial" w:ascii="Arial" w:hAnsi="Arial"/>
          <w:spacing w:val="16"/>
          <w:sz w:val="20"/>
          <w:szCs w:val="20"/>
        </w:rPr>
        <w:t xml:space="preserve"> </w:t>
      </w:r>
      <w:r>
        <w:rPr>
          <w:rFonts w:cs="Arial" w:ascii="Arial" w:hAnsi="Arial"/>
          <w:sz w:val="20"/>
          <w:szCs w:val="20"/>
        </w:rPr>
        <w:t>e</w:t>
      </w:r>
      <w:r>
        <w:rPr>
          <w:rFonts w:cs="Arial" w:ascii="Arial" w:hAnsi="Arial"/>
          <w:spacing w:val="13"/>
          <w:sz w:val="20"/>
          <w:szCs w:val="20"/>
        </w:rPr>
        <w:t xml:space="preserve"> </w:t>
      </w:r>
      <w:r>
        <w:rPr>
          <w:rFonts w:cs="Arial" w:ascii="Arial" w:hAnsi="Arial"/>
          <w:sz w:val="20"/>
          <w:szCs w:val="20"/>
        </w:rPr>
        <w:t>i</w:t>
      </w:r>
      <w:r>
        <w:rPr>
          <w:rFonts w:cs="Arial" w:ascii="Arial" w:hAnsi="Arial"/>
          <w:spacing w:val="16"/>
          <w:sz w:val="20"/>
          <w:szCs w:val="20"/>
        </w:rPr>
        <w:t xml:space="preserve"> </w:t>
      </w:r>
      <w:r>
        <w:rPr>
          <w:rFonts w:cs="Arial" w:ascii="Arial" w:hAnsi="Arial"/>
          <w:sz w:val="20"/>
          <w:szCs w:val="20"/>
        </w:rPr>
        <w:t>servizi</w:t>
      </w:r>
      <w:r>
        <w:rPr>
          <w:rFonts w:cs="Arial" w:ascii="Arial" w:hAnsi="Arial"/>
          <w:spacing w:val="15"/>
          <w:sz w:val="20"/>
          <w:szCs w:val="20"/>
        </w:rPr>
        <w:t xml:space="preserve"> </w:t>
      </w:r>
      <w:r>
        <w:rPr>
          <w:rFonts w:cs="Arial" w:ascii="Arial" w:hAnsi="Arial"/>
          <w:sz w:val="20"/>
          <w:szCs w:val="20"/>
        </w:rPr>
        <w:t>che</w:t>
      </w:r>
      <w:r>
        <w:rPr>
          <w:rFonts w:cs="Arial" w:ascii="Arial" w:hAnsi="Arial"/>
          <w:spacing w:val="-67"/>
          <w:sz w:val="20"/>
          <w:szCs w:val="20"/>
        </w:rPr>
        <w:t xml:space="preserve"> </w:t>
      </w:r>
      <w:r>
        <w:rPr>
          <w:rFonts w:cs="Arial" w:ascii="Arial" w:hAnsi="Arial"/>
          <w:sz w:val="20"/>
          <w:szCs w:val="20"/>
        </w:rPr>
        <w:t>la S.U.A. è tenuta a svolgere ed individuato gli Elementi essenziali delle Convenzioni</w:t>
      </w:r>
      <w:r>
        <w:rPr>
          <w:rFonts w:cs="Arial" w:ascii="Arial" w:hAnsi="Arial"/>
          <w:spacing w:val="1"/>
          <w:sz w:val="20"/>
          <w:szCs w:val="20"/>
        </w:rPr>
        <w:t xml:space="preserve"> </w:t>
      </w:r>
      <w:r>
        <w:rPr>
          <w:rFonts w:cs="Arial" w:ascii="Arial" w:hAnsi="Arial"/>
          <w:sz w:val="20"/>
          <w:szCs w:val="20"/>
        </w:rPr>
        <w:t>tra</w:t>
      </w:r>
      <w:r>
        <w:rPr>
          <w:rFonts w:cs="Arial" w:ascii="Arial" w:hAnsi="Arial"/>
          <w:spacing w:val="-2"/>
          <w:sz w:val="20"/>
          <w:szCs w:val="20"/>
        </w:rPr>
        <w:t xml:space="preserve"> </w:t>
      </w:r>
      <w:r>
        <w:rPr>
          <w:rFonts w:cs="Arial" w:ascii="Arial" w:hAnsi="Arial"/>
          <w:sz w:val="20"/>
          <w:szCs w:val="20"/>
        </w:rPr>
        <w:t>enti aderenti e</w:t>
      </w:r>
      <w:r>
        <w:rPr>
          <w:rFonts w:cs="Arial" w:ascii="Arial" w:hAnsi="Arial"/>
          <w:spacing w:val="-1"/>
          <w:sz w:val="20"/>
          <w:szCs w:val="20"/>
        </w:rPr>
        <w:t xml:space="preserve"> </w:t>
      </w:r>
      <w:r>
        <w:rPr>
          <w:rFonts w:cs="Arial" w:ascii="Arial" w:hAnsi="Arial"/>
          <w:sz w:val="20"/>
          <w:szCs w:val="20"/>
        </w:rPr>
        <w:t>Stazione</w:t>
      </w:r>
      <w:r>
        <w:rPr>
          <w:rFonts w:cs="Arial" w:ascii="Arial" w:hAnsi="Arial"/>
          <w:spacing w:val="-1"/>
          <w:sz w:val="20"/>
          <w:szCs w:val="20"/>
        </w:rPr>
        <w:t xml:space="preserve"> </w:t>
      </w:r>
      <w:r>
        <w:rPr>
          <w:rFonts w:cs="Arial" w:ascii="Arial" w:hAnsi="Arial"/>
          <w:sz w:val="20"/>
          <w:szCs w:val="20"/>
        </w:rPr>
        <w:t>unica</w:t>
      </w:r>
      <w:r>
        <w:rPr>
          <w:rFonts w:cs="Arial" w:ascii="Arial" w:hAnsi="Arial"/>
          <w:spacing w:val="-1"/>
          <w:sz w:val="20"/>
          <w:szCs w:val="20"/>
        </w:rPr>
        <w:t xml:space="preserve"> </w:t>
      </w:r>
      <w:r>
        <w:rPr>
          <w:rFonts w:cs="Arial" w:ascii="Arial" w:hAnsi="Arial"/>
          <w:sz w:val="20"/>
          <w:szCs w:val="20"/>
        </w:rPr>
        <w:t>appaltante;</w:t>
      </w:r>
    </w:p>
    <w:p>
      <w:pPr>
        <w:pStyle w:val="ListParagraph"/>
        <w:numPr>
          <w:ilvl w:val="0"/>
          <w:numId w:val="2"/>
        </w:numPr>
        <w:tabs>
          <w:tab w:val="clear" w:pos="720"/>
          <w:tab w:val="left" w:pos="142" w:leader="none"/>
        </w:tabs>
        <w:spacing w:lineRule="auto" w:line="360"/>
        <w:ind w:left="142" w:right="113" w:hanging="142"/>
        <w:rPr>
          <w:rFonts w:ascii="Arial" w:hAnsi="Arial" w:cs="Arial"/>
          <w:sz w:val="20"/>
          <w:szCs w:val="20"/>
        </w:rPr>
      </w:pPr>
      <w:r>
        <w:rPr>
          <w:rFonts w:cs="Arial" w:ascii="Arial" w:hAnsi="Arial"/>
          <w:sz w:val="20"/>
          <w:szCs w:val="20"/>
        </w:rPr>
        <w:t>Che l’art. 52 del decreto legge 31 maggio 2021, n. 77 coordinato con la legge di</w:t>
      </w:r>
      <w:r>
        <w:rPr>
          <w:rFonts w:cs="Arial" w:ascii="Arial" w:hAnsi="Arial"/>
          <w:spacing w:val="1"/>
          <w:sz w:val="20"/>
          <w:szCs w:val="20"/>
        </w:rPr>
        <w:t xml:space="preserve"> </w:t>
      </w:r>
      <w:r>
        <w:rPr>
          <w:rFonts w:cs="Arial" w:ascii="Arial" w:hAnsi="Arial"/>
          <w:sz w:val="20"/>
          <w:szCs w:val="20"/>
        </w:rPr>
        <w:t>conversione</w:t>
      </w:r>
      <w:r>
        <w:rPr>
          <w:rFonts w:cs="Arial" w:ascii="Arial" w:hAnsi="Arial"/>
          <w:spacing w:val="1"/>
          <w:sz w:val="20"/>
          <w:szCs w:val="20"/>
        </w:rPr>
        <w:t xml:space="preserve"> </w:t>
      </w:r>
      <w:r>
        <w:rPr>
          <w:rFonts w:cs="Arial" w:ascii="Arial" w:hAnsi="Arial"/>
          <w:sz w:val="20"/>
          <w:szCs w:val="20"/>
        </w:rPr>
        <w:t>29</w:t>
      </w:r>
      <w:r>
        <w:rPr>
          <w:rFonts w:cs="Arial" w:ascii="Arial" w:hAnsi="Arial"/>
          <w:spacing w:val="1"/>
          <w:sz w:val="20"/>
          <w:szCs w:val="20"/>
        </w:rPr>
        <w:t xml:space="preserve"> </w:t>
      </w:r>
      <w:r>
        <w:rPr>
          <w:rFonts w:cs="Arial" w:ascii="Arial" w:hAnsi="Arial"/>
          <w:sz w:val="20"/>
          <w:szCs w:val="20"/>
        </w:rPr>
        <w:t>luglio</w:t>
      </w:r>
      <w:r>
        <w:rPr>
          <w:rFonts w:cs="Arial" w:ascii="Arial" w:hAnsi="Arial"/>
          <w:spacing w:val="1"/>
          <w:sz w:val="20"/>
          <w:szCs w:val="20"/>
        </w:rPr>
        <w:t xml:space="preserve"> </w:t>
      </w:r>
      <w:r>
        <w:rPr>
          <w:rFonts w:cs="Arial" w:ascii="Arial" w:hAnsi="Arial"/>
          <w:sz w:val="20"/>
          <w:szCs w:val="20"/>
        </w:rPr>
        <w:t>2021,</w:t>
      </w:r>
      <w:r>
        <w:rPr>
          <w:rFonts w:cs="Arial" w:ascii="Arial" w:hAnsi="Arial"/>
          <w:spacing w:val="1"/>
          <w:sz w:val="20"/>
          <w:szCs w:val="20"/>
        </w:rPr>
        <w:t xml:space="preserve"> </w:t>
      </w:r>
      <w:r>
        <w:rPr>
          <w:rFonts w:cs="Arial" w:ascii="Arial" w:hAnsi="Arial"/>
          <w:sz w:val="20"/>
          <w:szCs w:val="20"/>
        </w:rPr>
        <w:t>n.</w:t>
      </w:r>
      <w:r>
        <w:rPr>
          <w:rFonts w:cs="Arial" w:ascii="Arial" w:hAnsi="Arial"/>
          <w:spacing w:val="1"/>
          <w:sz w:val="20"/>
          <w:szCs w:val="20"/>
        </w:rPr>
        <w:t xml:space="preserve"> </w:t>
      </w:r>
      <w:r>
        <w:rPr>
          <w:rFonts w:cs="Arial" w:ascii="Arial" w:hAnsi="Arial"/>
          <w:sz w:val="20"/>
          <w:szCs w:val="20"/>
        </w:rPr>
        <w:t>108,</w:t>
      </w:r>
      <w:r>
        <w:rPr>
          <w:rFonts w:cs="Arial" w:ascii="Arial" w:hAnsi="Arial"/>
          <w:spacing w:val="1"/>
          <w:sz w:val="20"/>
          <w:szCs w:val="20"/>
        </w:rPr>
        <w:t xml:space="preserve"> </w:t>
      </w:r>
      <w:r>
        <w:rPr>
          <w:rFonts w:cs="Arial" w:ascii="Arial" w:hAnsi="Arial"/>
          <w:sz w:val="20"/>
          <w:szCs w:val="20"/>
        </w:rPr>
        <w:t>recante:</w:t>
      </w:r>
      <w:r>
        <w:rPr>
          <w:rFonts w:cs="Arial" w:ascii="Arial" w:hAnsi="Arial"/>
          <w:spacing w:val="1"/>
          <w:sz w:val="20"/>
          <w:szCs w:val="20"/>
        </w:rPr>
        <w:t xml:space="preserve"> </w:t>
      </w:r>
      <w:r>
        <w:rPr>
          <w:rFonts w:cs="Arial" w:ascii="Arial" w:hAnsi="Arial"/>
          <w:sz w:val="20"/>
          <w:szCs w:val="20"/>
        </w:rPr>
        <w:t>“Governance</w:t>
      </w:r>
      <w:r>
        <w:rPr>
          <w:rFonts w:cs="Arial" w:ascii="Arial" w:hAnsi="Arial"/>
          <w:spacing w:val="1"/>
          <w:sz w:val="20"/>
          <w:szCs w:val="20"/>
        </w:rPr>
        <w:t xml:space="preserve"> </w:t>
      </w:r>
      <w:r>
        <w:rPr>
          <w:rFonts w:cs="Arial" w:ascii="Arial" w:hAnsi="Arial"/>
          <w:sz w:val="20"/>
          <w:szCs w:val="20"/>
        </w:rPr>
        <w:t>del</w:t>
      </w:r>
      <w:r>
        <w:rPr>
          <w:rFonts w:cs="Arial" w:ascii="Arial" w:hAnsi="Arial"/>
          <w:spacing w:val="1"/>
          <w:sz w:val="20"/>
          <w:szCs w:val="20"/>
        </w:rPr>
        <w:t xml:space="preserve"> </w:t>
      </w:r>
      <w:r>
        <w:rPr>
          <w:rFonts w:cs="Arial" w:ascii="Arial" w:hAnsi="Arial"/>
          <w:sz w:val="20"/>
          <w:szCs w:val="20"/>
        </w:rPr>
        <w:t>Piano</w:t>
      </w:r>
      <w:r>
        <w:rPr>
          <w:rFonts w:cs="Arial" w:ascii="Arial" w:hAnsi="Arial"/>
          <w:spacing w:val="1"/>
          <w:sz w:val="20"/>
          <w:szCs w:val="20"/>
        </w:rPr>
        <w:t xml:space="preserve"> </w:t>
      </w:r>
      <w:r>
        <w:rPr>
          <w:rFonts w:cs="Arial" w:ascii="Arial" w:hAnsi="Arial"/>
          <w:sz w:val="20"/>
          <w:szCs w:val="20"/>
        </w:rPr>
        <w:t>nazionale</w:t>
      </w:r>
      <w:r>
        <w:rPr>
          <w:rFonts w:cs="Arial" w:ascii="Arial" w:hAnsi="Arial"/>
          <w:spacing w:val="70"/>
          <w:sz w:val="20"/>
          <w:szCs w:val="20"/>
        </w:rPr>
        <w:t xml:space="preserve"> </w:t>
      </w:r>
      <w:r>
        <w:rPr>
          <w:rFonts w:cs="Arial" w:ascii="Arial" w:hAnsi="Arial"/>
          <w:sz w:val="20"/>
          <w:szCs w:val="20"/>
        </w:rPr>
        <w:t xml:space="preserve">di </w:t>
      </w:r>
      <w:r>
        <w:rPr>
          <w:rFonts w:cs="Arial" w:ascii="Arial" w:hAnsi="Arial"/>
          <w:spacing w:val="-67"/>
          <w:sz w:val="20"/>
          <w:szCs w:val="20"/>
        </w:rPr>
        <w:t xml:space="preserve"> </w:t>
      </w:r>
      <w:r>
        <w:rPr>
          <w:rFonts w:cs="Arial" w:ascii="Arial" w:hAnsi="Arial"/>
          <w:sz w:val="20"/>
          <w:szCs w:val="20"/>
        </w:rPr>
        <w:t>ripresa e resilienza e prime misure di rafforzamento delle strutture amministrative e di</w:t>
      </w:r>
      <w:r>
        <w:rPr>
          <w:rFonts w:cs="Arial" w:ascii="Arial" w:hAnsi="Arial"/>
          <w:spacing w:val="1"/>
          <w:sz w:val="20"/>
          <w:szCs w:val="20"/>
        </w:rPr>
        <w:t xml:space="preserve"> </w:t>
      </w:r>
      <w:r>
        <w:rPr>
          <w:rFonts w:cs="Arial" w:ascii="Arial" w:hAnsi="Arial"/>
          <w:sz w:val="20"/>
          <w:szCs w:val="20"/>
        </w:rPr>
        <w:t>accelerazione</w:t>
      </w:r>
      <w:r>
        <w:rPr>
          <w:rFonts w:cs="Arial" w:ascii="Arial" w:hAnsi="Arial"/>
          <w:spacing w:val="1"/>
          <w:sz w:val="20"/>
          <w:szCs w:val="20"/>
        </w:rPr>
        <w:t xml:space="preserve"> </w:t>
      </w:r>
      <w:r>
        <w:rPr>
          <w:rFonts w:cs="Arial" w:ascii="Arial" w:hAnsi="Arial"/>
          <w:sz w:val="20"/>
          <w:szCs w:val="20"/>
        </w:rPr>
        <w:t>e</w:t>
      </w:r>
      <w:r>
        <w:rPr>
          <w:rFonts w:cs="Arial" w:ascii="Arial" w:hAnsi="Arial"/>
          <w:spacing w:val="1"/>
          <w:sz w:val="20"/>
          <w:szCs w:val="20"/>
        </w:rPr>
        <w:t xml:space="preserve"> </w:t>
      </w:r>
      <w:r>
        <w:rPr>
          <w:rFonts w:cs="Arial" w:ascii="Arial" w:hAnsi="Arial"/>
          <w:sz w:val="20"/>
          <w:szCs w:val="20"/>
        </w:rPr>
        <w:t>snellimento</w:t>
      </w:r>
      <w:r>
        <w:rPr>
          <w:rFonts w:cs="Arial" w:ascii="Arial" w:hAnsi="Arial"/>
          <w:spacing w:val="1"/>
          <w:sz w:val="20"/>
          <w:szCs w:val="20"/>
        </w:rPr>
        <w:t xml:space="preserve"> </w:t>
      </w:r>
      <w:r>
        <w:rPr>
          <w:rFonts w:cs="Arial" w:ascii="Arial" w:hAnsi="Arial"/>
          <w:sz w:val="20"/>
          <w:szCs w:val="20"/>
        </w:rPr>
        <w:t>delle</w:t>
      </w:r>
      <w:r>
        <w:rPr>
          <w:rFonts w:cs="Arial" w:ascii="Arial" w:hAnsi="Arial"/>
          <w:spacing w:val="1"/>
          <w:sz w:val="20"/>
          <w:szCs w:val="20"/>
        </w:rPr>
        <w:t xml:space="preserve"> </w:t>
      </w:r>
      <w:r>
        <w:rPr>
          <w:rFonts w:cs="Arial" w:ascii="Arial" w:hAnsi="Arial"/>
          <w:sz w:val="20"/>
          <w:szCs w:val="20"/>
        </w:rPr>
        <w:t>procedure»,</w:t>
      </w:r>
      <w:r>
        <w:rPr>
          <w:rFonts w:cs="Arial" w:ascii="Arial" w:hAnsi="Arial"/>
          <w:spacing w:val="1"/>
          <w:sz w:val="20"/>
          <w:szCs w:val="20"/>
        </w:rPr>
        <w:t xml:space="preserve"> </w:t>
      </w:r>
      <w:r>
        <w:rPr>
          <w:rFonts w:cs="Arial" w:ascii="Arial" w:hAnsi="Arial"/>
          <w:sz w:val="20"/>
          <w:szCs w:val="20"/>
        </w:rPr>
        <w:t>ha</w:t>
      </w:r>
      <w:r>
        <w:rPr>
          <w:rFonts w:cs="Arial" w:ascii="Arial" w:hAnsi="Arial"/>
          <w:spacing w:val="1"/>
          <w:sz w:val="20"/>
          <w:szCs w:val="20"/>
        </w:rPr>
        <w:t xml:space="preserve"> </w:t>
      </w:r>
      <w:r>
        <w:rPr>
          <w:rFonts w:cs="Arial" w:ascii="Arial" w:hAnsi="Arial"/>
          <w:sz w:val="20"/>
          <w:szCs w:val="20"/>
        </w:rPr>
        <w:t>disposto</w:t>
      </w:r>
      <w:r>
        <w:rPr>
          <w:rFonts w:cs="Arial" w:ascii="Arial" w:hAnsi="Arial"/>
          <w:spacing w:val="1"/>
          <w:sz w:val="20"/>
          <w:szCs w:val="20"/>
        </w:rPr>
        <w:t xml:space="preserve"> </w:t>
      </w:r>
      <w:r>
        <w:rPr>
          <w:rFonts w:cs="Arial" w:ascii="Arial" w:hAnsi="Arial"/>
          <w:sz w:val="20"/>
          <w:szCs w:val="20"/>
        </w:rPr>
        <w:t>che,</w:t>
      </w:r>
      <w:r>
        <w:rPr>
          <w:rFonts w:cs="Arial" w:ascii="Arial" w:hAnsi="Arial"/>
          <w:spacing w:val="1"/>
          <w:sz w:val="20"/>
          <w:szCs w:val="20"/>
        </w:rPr>
        <w:t xml:space="preserve"> </w:t>
      </w:r>
      <w:r>
        <w:rPr>
          <w:rFonts w:cs="Arial" w:ascii="Arial" w:hAnsi="Arial"/>
          <w:sz w:val="20"/>
          <w:szCs w:val="20"/>
        </w:rPr>
        <w:t>per</w:t>
      </w:r>
      <w:r>
        <w:rPr>
          <w:rFonts w:cs="Arial" w:ascii="Arial" w:hAnsi="Arial"/>
          <w:spacing w:val="1"/>
          <w:sz w:val="20"/>
          <w:szCs w:val="20"/>
        </w:rPr>
        <w:t xml:space="preserve"> </w:t>
      </w:r>
      <w:r>
        <w:rPr>
          <w:rFonts w:cs="Arial" w:ascii="Arial" w:hAnsi="Arial"/>
          <w:sz w:val="20"/>
          <w:szCs w:val="20"/>
        </w:rPr>
        <w:t>le</w:t>
      </w:r>
      <w:r>
        <w:rPr>
          <w:rFonts w:cs="Arial" w:ascii="Arial" w:hAnsi="Arial"/>
          <w:spacing w:val="1"/>
          <w:sz w:val="20"/>
          <w:szCs w:val="20"/>
        </w:rPr>
        <w:t xml:space="preserve"> </w:t>
      </w:r>
      <w:r>
        <w:rPr>
          <w:rFonts w:cs="Arial" w:ascii="Arial" w:hAnsi="Arial"/>
          <w:sz w:val="20"/>
          <w:szCs w:val="20"/>
        </w:rPr>
        <w:t>procedure</w:t>
      </w:r>
      <w:r>
        <w:rPr>
          <w:rFonts w:cs="Arial" w:ascii="Arial" w:hAnsi="Arial"/>
          <w:spacing w:val="1"/>
          <w:sz w:val="20"/>
          <w:szCs w:val="20"/>
        </w:rPr>
        <w:t xml:space="preserve"> </w:t>
      </w:r>
      <w:r>
        <w:rPr>
          <w:rFonts w:cs="Arial" w:ascii="Arial" w:hAnsi="Arial"/>
          <w:sz w:val="20"/>
          <w:szCs w:val="20"/>
        </w:rPr>
        <w:t>afferenti agli investimenti pubblici finanziati, in tutto o in parte, con le risorse previste</w:t>
      </w:r>
      <w:r>
        <w:rPr>
          <w:rFonts w:cs="Arial" w:ascii="Arial" w:hAnsi="Arial"/>
          <w:spacing w:val="1"/>
          <w:sz w:val="20"/>
          <w:szCs w:val="20"/>
        </w:rPr>
        <w:t xml:space="preserve"> </w:t>
      </w:r>
      <w:r>
        <w:rPr>
          <w:rFonts w:cs="Arial" w:ascii="Arial" w:hAnsi="Arial"/>
          <w:sz w:val="20"/>
          <w:szCs w:val="20"/>
        </w:rPr>
        <w:t>dal Piano Nazionale di Ripresa e Resilienza (PNRR), nonché dalle risorse del Piano nazionale per gli investimenti complementari (PNC) di cui all’articolo 1 del decreto- legge 6 maggio 2021, n. 59, “i Comuni non capoluogo di provincia procedono all’acquisizione di forniture, servizi e lavori, oltre che secondo le modalità indicate dal citato articolo 37, comma 4, attraverso le unioni di comuni, le province, le città metropolitane e i comuni capoluogo di provincia”;</w:t>
      </w:r>
    </w:p>
    <w:p>
      <w:pPr>
        <w:pStyle w:val="ListParagraph"/>
        <w:numPr>
          <w:ilvl w:val="0"/>
          <w:numId w:val="2"/>
        </w:numPr>
        <w:tabs>
          <w:tab w:val="clear" w:pos="720"/>
          <w:tab w:val="left" w:pos="142" w:leader="none"/>
        </w:tabs>
        <w:spacing w:lineRule="auto" w:line="360"/>
        <w:ind w:left="142" w:right="113" w:hanging="142"/>
        <w:rPr>
          <w:rFonts w:ascii="Arial" w:hAnsi="Arial" w:cs="Arial"/>
          <w:sz w:val="20"/>
          <w:szCs w:val="20"/>
        </w:rPr>
      </w:pPr>
      <w:r>
        <w:rPr>
          <w:rFonts w:cs="Arial" w:ascii="Arial" w:hAnsi="Arial"/>
          <w:sz w:val="20"/>
          <w:szCs w:val="20"/>
        </w:rPr>
        <w:t>Che il Comune di Setzu, con specifico riferimento alle procedure finanziate in tutto o in parte con i predetti PNRR e PNC, supporta gli Enti aderenti alla convenzione, per il tramite della propria stazione unica appaltante, al fine di assicurare che tali risorse vengano impiegate in modo efficace,</w:t>
      </w:r>
      <w:r>
        <w:rPr>
          <w:rFonts w:cs="Arial" w:ascii="Arial" w:hAnsi="Arial"/>
          <w:spacing w:val="1"/>
          <w:sz w:val="20"/>
          <w:szCs w:val="20"/>
        </w:rPr>
        <w:t xml:space="preserve"> </w:t>
      </w:r>
      <w:r>
        <w:rPr>
          <w:rFonts w:cs="Arial" w:ascii="Arial" w:hAnsi="Arial"/>
          <w:sz w:val="20"/>
          <w:szCs w:val="20"/>
        </w:rPr>
        <w:t>trasparente</w:t>
      </w:r>
      <w:r>
        <w:rPr>
          <w:rFonts w:cs="Arial" w:ascii="Arial" w:hAnsi="Arial"/>
          <w:spacing w:val="-2"/>
          <w:sz w:val="20"/>
          <w:szCs w:val="20"/>
        </w:rPr>
        <w:t xml:space="preserve"> </w:t>
      </w:r>
      <w:r>
        <w:rPr>
          <w:rFonts w:cs="Arial" w:ascii="Arial" w:hAnsi="Arial"/>
          <w:sz w:val="20"/>
          <w:szCs w:val="20"/>
        </w:rPr>
        <w:t>e</w:t>
      </w:r>
      <w:r>
        <w:rPr>
          <w:rFonts w:cs="Arial" w:ascii="Arial" w:hAnsi="Arial"/>
          <w:spacing w:val="1"/>
          <w:sz w:val="20"/>
          <w:szCs w:val="20"/>
        </w:rPr>
        <w:t xml:space="preserve"> </w:t>
      </w:r>
      <w:r>
        <w:rPr>
          <w:rFonts w:cs="Arial" w:ascii="Arial" w:hAnsi="Arial"/>
          <w:sz w:val="20"/>
          <w:szCs w:val="20"/>
        </w:rPr>
        <w:t>in tempi celeri;</w:t>
      </w:r>
    </w:p>
    <w:p>
      <w:pPr>
        <w:pStyle w:val="ListParagraph"/>
        <w:numPr>
          <w:ilvl w:val="0"/>
          <w:numId w:val="2"/>
        </w:numPr>
        <w:tabs>
          <w:tab w:val="clear" w:pos="720"/>
          <w:tab w:val="left" w:pos="142" w:leader="none"/>
        </w:tabs>
        <w:spacing w:lineRule="auto" w:line="360"/>
        <w:ind w:left="142" w:right="113" w:hanging="142"/>
        <w:rPr>
          <w:rFonts w:ascii="Arial" w:hAnsi="Arial" w:cs="Arial"/>
          <w:sz w:val="20"/>
          <w:szCs w:val="20"/>
        </w:rPr>
      </w:pPr>
      <w:r>
        <w:rPr>
          <w:rFonts w:cs="Arial" w:ascii="Arial" w:hAnsi="Arial"/>
          <w:sz w:val="20"/>
          <w:szCs w:val="20"/>
        </w:rPr>
        <w:t>Che il Comune di Setzu ha istituito la Stazione Unica Appaltante aperta</w:t>
      </w:r>
      <w:r>
        <w:rPr>
          <w:rFonts w:cs="Arial" w:ascii="Arial" w:hAnsi="Arial"/>
          <w:spacing w:val="-2"/>
          <w:sz w:val="20"/>
          <w:szCs w:val="20"/>
        </w:rPr>
        <w:t xml:space="preserve"> </w:t>
      </w:r>
      <w:r>
        <w:rPr>
          <w:rFonts w:cs="Arial" w:ascii="Arial" w:hAnsi="Arial"/>
          <w:sz w:val="20"/>
          <w:szCs w:val="20"/>
        </w:rPr>
        <w:t>all’adesione</w:t>
      </w:r>
      <w:r>
        <w:rPr>
          <w:rFonts w:cs="Arial" w:ascii="Arial" w:hAnsi="Arial"/>
          <w:spacing w:val="1"/>
          <w:sz w:val="20"/>
          <w:szCs w:val="20"/>
        </w:rPr>
        <w:t xml:space="preserve"> </w:t>
      </w:r>
      <w:r>
        <w:rPr>
          <w:rFonts w:cs="Arial" w:ascii="Arial" w:hAnsi="Arial"/>
          <w:sz w:val="20"/>
          <w:szCs w:val="20"/>
        </w:rPr>
        <w:t>di</w:t>
      </w:r>
      <w:r>
        <w:rPr>
          <w:rFonts w:cs="Arial" w:ascii="Arial" w:hAnsi="Arial"/>
          <w:spacing w:val="-1"/>
          <w:sz w:val="20"/>
          <w:szCs w:val="20"/>
        </w:rPr>
        <w:t xml:space="preserve"> </w:t>
      </w:r>
      <w:r>
        <w:rPr>
          <w:rFonts w:cs="Arial" w:ascii="Arial" w:hAnsi="Arial"/>
          <w:sz w:val="20"/>
          <w:szCs w:val="20"/>
        </w:rPr>
        <w:t>altri soggetti ed enti;</w:t>
      </w:r>
    </w:p>
    <w:p>
      <w:pPr>
        <w:pStyle w:val="ListParagraph"/>
        <w:numPr>
          <w:ilvl w:val="0"/>
          <w:numId w:val="2"/>
        </w:numPr>
        <w:tabs>
          <w:tab w:val="clear" w:pos="720"/>
          <w:tab w:val="left" w:pos="142" w:leader="none"/>
        </w:tabs>
        <w:spacing w:lineRule="auto" w:line="360"/>
        <w:ind w:left="142" w:right="113" w:hanging="142"/>
        <w:rPr>
          <w:rFonts w:ascii="Arial" w:hAnsi="Arial" w:cs="Arial"/>
          <w:sz w:val="20"/>
          <w:szCs w:val="20"/>
        </w:rPr>
      </w:pPr>
      <w:r>
        <w:rPr>
          <w:rFonts w:cs="Arial" w:ascii="Arial" w:hAnsi="Arial"/>
          <w:sz w:val="20"/>
          <w:szCs w:val="20"/>
        </w:rPr>
        <w:t>Che</w:t>
      </w:r>
      <w:r>
        <w:rPr>
          <w:rFonts w:cs="Arial" w:ascii="Arial" w:hAnsi="Arial"/>
          <w:spacing w:val="25"/>
          <w:sz w:val="20"/>
          <w:szCs w:val="20"/>
        </w:rPr>
        <w:t xml:space="preserve"> </w:t>
      </w:r>
      <w:r>
        <w:rPr>
          <w:rFonts w:cs="Arial" w:ascii="Arial" w:hAnsi="Arial"/>
          <w:sz w:val="20"/>
          <w:szCs w:val="20"/>
        </w:rPr>
        <w:t>la</w:t>
      </w:r>
      <w:r>
        <w:rPr>
          <w:rFonts w:cs="Arial" w:ascii="Arial" w:hAnsi="Arial"/>
          <w:spacing w:val="24"/>
          <w:sz w:val="20"/>
          <w:szCs w:val="20"/>
        </w:rPr>
        <w:t xml:space="preserve"> </w:t>
      </w:r>
      <w:r>
        <w:rPr>
          <w:rFonts w:cs="Arial" w:ascii="Arial" w:hAnsi="Arial"/>
          <w:sz w:val="20"/>
          <w:szCs w:val="20"/>
        </w:rPr>
        <w:t>stessa</w:t>
      </w:r>
      <w:r>
        <w:rPr>
          <w:rFonts w:cs="Arial" w:ascii="Arial" w:hAnsi="Arial"/>
          <w:spacing w:val="26"/>
          <w:sz w:val="20"/>
          <w:szCs w:val="20"/>
        </w:rPr>
        <w:t xml:space="preserve"> </w:t>
      </w:r>
      <w:r>
        <w:rPr>
          <w:rFonts w:cs="Arial" w:ascii="Arial" w:hAnsi="Arial"/>
          <w:sz w:val="20"/>
          <w:szCs w:val="20"/>
        </w:rPr>
        <w:t>potrà</w:t>
      </w:r>
      <w:r>
        <w:rPr>
          <w:rFonts w:cs="Arial" w:ascii="Arial" w:hAnsi="Arial"/>
          <w:spacing w:val="24"/>
          <w:sz w:val="20"/>
          <w:szCs w:val="20"/>
        </w:rPr>
        <w:t xml:space="preserve"> </w:t>
      </w:r>
      <w:r>
        <w:rPr>
          <w:rFonts w:cs="Arial" w:ascii="Arial" w:hAnsi="Arial"/>
          <w:sz w:val="20"/>
          <w:szCs w:val="20"/>
        </w:rPr>
        <w:t>svolgere</w:t>
      </w:r>
      <w:r>
        <w:rPr>
          <w:rFonts w:cs="Arial" w:ascii="Arial" w:hAnsi="Arial"/>
          <w:spacing w:val="26"/>
          <w:sz w:val="20"/>
          <w:szCs w:val="20"/>
        </w:rPr>
        <w:t xml:space="preserve"> </w:t>
      </w:r>
      <w:r>
        <w:rPr>
          <w:rFonts w:cs="Arial" w:ascii="Arial" w:hAnsi="Arial"/>
          <w:sz w:val="20"/>
          <w:szCs w:val="20"/>
        </w:rPr>
        <w:t>le</w:t>
      </w:r>
      <w:r>
        <w:rPr>
          <w:rFonts w:cs="Arial" w:ascii="Arial" w:hAnsi="Arial"/>
          <w:spacing w:val="23"/>
          <w:sz w:val="20"/>
          <w:szCs w:val="20"/>
        </w:rPr>
        <w:t xml:space="preserve"> </w:t>
      </w:r>
      <w:r>
        <w:rPr>
          <w:rFonts w:cs="Arial" w:ascii="Arial" w:hAnsi="Arial"/>
          <w:sz w:val="20"/>
          <w:szCs w:val="20"/>
        </w:rPr>
        <w:t>procedure</w:t>
      </w:r>
      <w:r>
        <w:rPr>
          <w:rFonts w:cs="Arial" w:ascii="Arial" w:hAnsi="Arial"/>
          <w:spacing w:val="24"/>
          <w:sz w:val="20"/>
          <w:szCs w:val="20"/>
        </w:rPr>
        <w:t xml:space="preserve"> </w:t>
      </w:r>
      <w:r>
        <w:rPr>
          <w:rFonts w:cs="Arial" w:ascii="Arial" w:hAnsi="Arial"/>
          <w:sz w:val="20"/>
          <w:szCs w:val="20"/>
        </w:rPr>
        <w:t>di</w:t>
      </w:r>
      <w:r>
        <w:rPr>
          <w:rFonts w:cs="Arial" w:ascii="Arial" w:hAnsi="Arial"/>
          <w:spacing w:val="25"/>
          <w:sz w:val="20"/>
          <w:szCs w:val="20"/>
        </w:rPr>
        <w:t xml:space="preserve"> </w:t>
      </w:r>
      <w:r>
        <w:rPr>
          <w:rFonts w:cs="Arial" w:ascii="Arial" w:hAnsi="Arial"/>
          <w:sz w:val="20"/>
          <w:szCs w:val="20"/>
        </w:rPr>
        <w:t>gara</w:t>
      </w:r>
      <w:r>
        <w:rPr>
          <w:rFonts w:cs="Arial" w:ascii="Arial" w:hAnsi="Arial"/>
          <w:spacing w:val="24"/>
          <w:sz w:val="20"/>
          <w:szCs w:val="20"/>
        </w:rPr>
        <w:t xml:space="preserve"> </w:t>
      </w:r>
      <w:r>
        <w:rPr>
          <w:rFonts w:cs="Arial" w:ascii="Arial" w:hAnsi="Arial"/>
          <w:sz w:val="20"/>
          <w:szCs w:val="20"/>
        </w:rPr>
        <w:t>richieste</w:t>
      </w:r>
      <w:r>
        <w:rPr>
          <w:rFonts w:cs="Arial" w:ascii="Arial" w:hAnsi="Arial"/>
          <w:spacing w:val="26"/>
          <w:sz w:val="20"/>
          <w:szCs w:val="20"/>
        </w:rPr>
        <w:t xml:space="preserve"> </w:t>
      </w:r>
      <w:r>
        <w:rPr>
          <w:rFonts w:cs="Arial" w:ascii="Arial" w:hAnsi="Arial"/>
          <w:sz w:val="20"/>
          <w:szCs w:val="20"/>
        </w:rPr>
        <w:t>da</w:t>
      </w:r>
      <w:r>
        <w:rPr>
          <w:rFonts w:cs="Arial" w:ascii="Arial" w:hAnsi="Arial"/>
          <w:spacing w:val="23"/>
          <w:sz w:val="20"/>
          <w:szCs w:val="20"/>
        </w:rPr>
        <w:t xml:space="preserve"> </w:t>
      </w:r>
      <w:r>
        <w:rPr>
          <w:rFonts w:cs="Arial" w:ascii="Arial" w:hAnsi="Arial"/>
          <w:sz w:val="20"/>
          <w:szCs w:val="20"/>
        </w:rPr>
        <w:t>Comuni</w:t>
      </w:r>
      <w:r>
        <w:rPr>
          <w:rFonts w:cs="Arial" w:ascii="Arial" w:hAnsi="Arial"/>
          <w:spacing w:val="25"/>
          <w:sz w:val="20"/>
          <w:szCs w:val="20"/>
        </w:rPr>
        <w:t xml:space="preserve"> </w:t>
      </w:r>
      <w:r>
        <w:rPr>
          <w:rFonts w:cs="Arial" w:ascii="Arial" w:hAnsi="Arial"/>
          <w:sz w:val="20"/>
          <w:szCs w:val="20"/>
        </w:rPr>
        <w:t>ed</w:t>
      </w:r>
      <w:r>
        <w:rPr>
          <w:rFonts w:cs="Arial" w:ascii="Arial" w:hAnsi="Arial"/>
          <w:spacing w:val="24"/>
          <w:sz w:val="20"/>
          <w:szCs w:val="20"/>
        </w:rPr>
        <w:t xml:space="preserve"> </w:t>
      </w:r>
      <w:r>
        <w:rPr>
          <w:rFonts w:cs="Arial" w:ascii="Arial" w:hAnsi="Arial"/>
          <w:sz w:val="20"/>
          <w:szCs w:val="20"/>
        </w:rPr>
        <w:t>Enti</w:t>
      </w:r>
      <w:r>
        <w:rPr>
          <w:rFonts w:cs="Arial" w:ascii="Arial" w:hAnsi="Arial"/>
          <w:spacing w:val="24"/>
          <w:sz w:val="20"/>
          <w:szCs w:val="20"/>
        </w:rPr>
        <w:t xml:space="preserve"> </w:t>
      </w:r>
      <w:r>
        <w:rPr>
          <w:rFonts w:cs="Arial" w:ascii="Arial" w:hAnsi="Arial"/>
          <w:sz w:val="20"/>
          <w:szCs w:val="20"/>
        </w:rPr>
        <w:t>fuori</w:t>
      </w:r>
      <w:r>
        <w:rPr>
          <w:rFonts w:cs="Arial" w:ascii="Arial" w:hAnsi="Arial"/>
          <w:spacing w:val="-68"/>
          <w:sz w:val="20"/>
          <w:szCs w:val="20"/>
        </w:rPr>
        <w:t xml:space="preserve"> </w:t>
      </w:r>
      <w:r>
        <w:rPr>
          <w:rFonts w:cs="Arial" w:ascii="Arial" w:hAnsi="Arial"/>
          <w:sz w:val="20"/>
          <w:szCs w:val="20"/>
        </w:rPr>
        <w:t>dal</w:t>
      </w:r>
      <w:r>
        <w:rPr>
          <w:rFonts w:cs="Arial" w:ascii="Arial" w:hAnsi="Arial"/>
          <w:spacing w:val="-1"/>
          <w:sz w:val="20"/>
          <w:szCs w:val="20"/>
        </w:rPr>
        <w:t xml:space="preserve"> </w:t>
      </w:r>
      <w:r>
        <w:rPr>
          <w:rFonts w:cs="Arial" w:ascii="Arial" w:hAnsi="Arial"/>
          <w:sz w:val="20"/>
          <w:szCs w:val="20"/>
        </w:rPr>
        <w:t>territorio</w:t>
      </w:r>
      <w:r>
        <w:rPr>
          <w:rFonts w:cs="Arial" w:ascii="Arial" w:hAnsi="Arial"/>
          <w:spacing w:val="-1"/>
          <w:sz w:val="20"/>
          <w:szCs w:val="20"/>
        </w:rPr>
        <w:t xml:space="preserve"> </w:t>
      </w:r>
      <w:r>
        <w:rPr>
          <w:rFonts w:cs="Arial" w:ascii="Arial" w:hAnsi="Arial"/>
          <w:sz w:val="20"/>
          <w:szCs w:val="20"/>
        </w:rPr>
        <w:t>provinciale, nonché quelle</w:t>
      </w:r>
      <w:r>
        <w:rPr>
          <w:rFonts w:cs="Arial" w:ascii="Arial" w:hAnsi="Arial"/>
          <w:spacing w:val="-2"/>
          <w:sz w:val="20"/>
          <w:szCs w:val="20"/>
        </w:rPr>
        <w:t xml:space="preserve"> </w:t>
      </w:r>
      <w:r>
        <w:rPr>
          <w:rFonts w:cs="Arial" w:ascii="Arial" w:hAnsi="Arial"/>
          <w:sz w:val="20"/>
          <w:szCs w:val="20"/>
        </w:rPr>
        <w:t>assegnate d’ufficio</w:t>
      </w:r>
      <w:r>
        <w:rPr>
          <w:rFonts w:cs="Arial" w:ascii="Arial" w:hAnsi="Arial"/>
          <w:spacing w:val="-1"/>
          <w:sz w:val="20"/>
          <w:szCs w:val="20"/>
        </w:rPr>
        <w:t xml:space="preserve"> </w:t>
      </w:r>
      <w:r>
        <w:rPr>
          <w:rFonts w:cs="Arial" w:ascii="Arial" w:hAnsi="Arial"/>
          <w:sz w:val="20"/>
          <w:szCs w:val="20"/>
        </w:rPr>
        <w:t>da</w:t>
      </w:r>
      <w:r>
        <w:rPr>
          <w:rFonts w:cs="Arial" w:ascii="Arial" w:hAnsi="Arial"/>
          <w:spacing w:val="-14"/>
          <w:sz w:val="20"/>
          <w:szCs w:val="20"/>
        </w:rPr>
        <w:t xml:space="preserve"> </w:t>
      </w:r>
      <w:r>
        <w:rPr>
          <w:rFonts w:cs="Arial" w:ascii="Arial" w:hAnsi="Arial"/>
          <w:sz w:val="20"/>
          <w:szCs w:val="20"/>
        </w:rPr>
        <w:t>ANAC;</w:t>
      </w:r>
    </w:p>
    <w:p>
      <w:pPr>
        <w:pStyle w:val="ListParagraph"/>
        <w:numPr>
          <w:ilvl w:val="0"/>
          <w:numId w:val="2"/>
        </w:numPr>
        <w:tabs>
          <w:tab w:val="clear" w:pos="720"/>
          <w:tab w:val="left" w:pos="142" w:leader="none"/>
        </w:tabs>
        <w:spacing w:lineRule="auto" w:line="360"/>
        <w:ind w:left="142" w:right="113" w:hanging="142"/>
        <w:rPr>
          <w:rFonts w:ascii="Arial" w:hAnsi="Arial" w:cs="Arial"/>
          <w:sz w:val="20"/>
          <w:szCs w:val="20"/>
        </w:rPr>
      </w:pPr>
      <w:r>
        <w:rPr>
          <w:rFonts w:cs="Arial" w:ascii="Arial" w:hAnsi="Arial"/>
          <w:sz w:val="20"/>
          <w:szCs w:val="20"/>
        </w:rPr>
        <w:t>Che l’art. 30, comma 1, del T.U.E.L., prevede che “al fine di svolgere in modo</w:t>
      </w:r>
      <w:r>
        <w:rPr>
          <w:rFonts w:cs="Arial" w:ascii="Arial" w:hAnsi="Arial"/>
          <w:spacing w:val="1"/>
          <w:sz w:val="20"/>
          <w:szCs w:val="20"/>
        </w:rPr>
        <w:t xml:space="preserve"> </w:t>
      </w:r>
      <w:r>
        <w:rPr>
          <w:rFonts w:cs="Arial" w:ascii="Arial" w:hAnsi="Arial"/>
          <w:sz w:val="20"/>
          <w:szCs w:val="20"/>
        </w:rPr>
        <w:t>coordinato funzioni e servizi determinati, gli Enti locali possono stipulare tra loro</w:t>
      </w:r>
      <w:r>
        <w:rPr>
          <w:rFonts w:cs="Arial" w:ascii="Arial" w:hAnsi="Arial"/>
          <w:spacing w:val="1"/>
          <w:sz w:val="20"/>
          <w:szCs w:val="20"/>
        </w:rPr>
        <w:t xml:space="preserve"> </w:t>
      </w:r>
      <w:r>
        <w:rPr>
          <w:rFonts w:cs="Arial" w:ascii="Arial" w:hAnsi="Arial"/>
          <w:sz w:val="20"/>
          <w:szCs w:val="20"/>
        </w:rPr>
        <w:t>apposite convenzioni”;</w:t>
      </w:r>
    </w:p>
    <w:p>
      <w:pPr>
        <w:pStyle w:val="Corpodeltesto"/>
        <w:spacing w:lineRule="auto" w:line="360"/>
        <w:ind w:left="0" w:hanging="0"/>
        <w:jc w:val="left"/>
        <w:rPr>
          <w:rFonts w:ascii="Arial" w:hAnsi="Arial" w:cs="Arial"/>
          <w:sz w:val="20"/>
          <w:szCs w:val="20"/>
        </w:rPr>
      </w:pPr>
      <w:r>
        <w:rPr>
          <w:rFonts w:cs="Arial" w:ascii="Arial" w:hAnsi="Arial"/>
          <w:sz w:val="20"/>
          <w:szCs w:val="20"/>
        </w:rPr>
      </w:r>
    </w:p>
    <w:p>
      <w:pPr>
        <w:pStyle w:val="Corpodeltesto"/>
        <w:spacing w:lineRule="auto" w:line="360"/>
        <w:ind w:left="0" w:hanging="0"/>
        <w:jc w:val="left"/>
        <w:rPr>
          <w:rFonts w:ascii="Arial" w:hAnsi="Arial" w:cs="Arial"/>
          <w:sz w:val="20"/>
          <w:szCs w:val="20"/>
        </w:rPr>
      </w:pPr>
      <w:r>
        <w:rPr>
          <w:rFonts w:cs="Arial" w:ascii="Arial" w:hAnsi="Arial"/>
          <w:sz w:val="20"/>
          <w:szCs w:val="20"/>
        </w:rPr>
      </w:r>
    </w:p>
    <w:p>
      <w:pPr>
        <w:pStyle w:val="Corpodeltesto"/>
        <w:spacing w:lineRule="auto" w:line="360"/>
        <w:ind w:left="0" w:hanging="0"/>
        <w:jc w:val="left"/>
        <w:rPr>
          <w:rFonts w:ascii="Arial" w:hAnsi="Arial" w:cs="Arial"/>
          <w:sz w:val="20"/>
          <w:szCs w:val="20"/>
        </w:rPr>
      </w:pPr>
      <w:r>
        <w:rPr>
          <w:rFonts w:cs="Arial" w:ascii="Arial" w:hAnsi="Arial"/>
          <w:sz w:val="20"/>
          <w:szCs w:val="20"/>
        </w:rPr>
      </w:r>
    </w:p>
    <w:p>
      <w:pPr>
        <w:pStyle w:val="Corpodeltesto"/>
        <w:spacing w:lineRule="auto" w:line="360"/>
        <w:ind w:left="0" w:hanging="0"/>
        <w:jc w:val="left"/>
        <w:rPr>
          <w:rFonts w:ascii="Arial" w:hAnsi="Arial" w:cs="Arial"/>
          <w:sz w:val="20"/>
          <w:szCs w:val="20"/>
        </w:rPr>
      </w:pPr>
      <w:r>
        <w:rPr>
          <w:rFonts w:cs="Arial" w:ascii="Arial" w:hAnsi="Arial"/>
          <w:sz w:val="20"/>
          <w:szCs w:val="20"/>
        </w:rPr>
      </w:r>
    </w:p>
    <w:p>
      <w:pPr>
        <w:pStyle w:val="Normal"/>
        <w:spacing w:lineRule="auto" w:line="360"/>
        <w:ind w:left="164" w:hanging="0"/>
        <w:jc w:val="center"/>
        <w:rPr>
          <w:rFonts w:ascii="Arial" w:hAnsi="Arial" w:cs="Arial"/>
          <w:b/>
          <w:b/>
          <w:sz w:val="20"/>
          <w:szCs w:val="20"/>
        </w:rPr>
      </w:pPr>
      <w:r>
        <w:rPr>
          <w:rFonts w:cs="Arial" w:ascii="Arial" w:hAnsi="Arial"/>
          <w:b/>
          <w:sz w:val="20"/>
          <w:szCs w:val="20"/>
        </w:rPr>
        <w:t>SI</w:t>
      </w:r>
      <w:r>
        <w:rPr>
          <w:rFonts w:cs="Arial" w:ascii="Arial" w:hAnsi="Arial"/>
          <w:b/>
          <w:spacing w:val="-4"/>
          <w:sz w:val="20"/>
          <w:szCs w:val="20"/>
        </w:rPr>
        <w:t xml:space="preserve"> </w:t>
      </w:r>
      <w:r>
        <w:rPr>
          <w:rFonts w:cs="Arial" w:ascii="Arial" w:hAnsi="Arial"/>
          <w:b/>
          <w:sz w:val="20"/>
          <w:szCs w:val="20"/>
        </w:rPr>
        <w:t>CONVIENE</w:t>
      </w:r>
      <w:r>
        <w:rPr>
          <w:rFonts w:cs="Arial" w:ascii="Arial" w:hAnsi="Arial"/>
          <w:b/>
          <w:spacing w:val="-3"/>
          <w:sz w:val="20"/>
          <w:szCs w:val="20"/>
        </w:rPr>
        <w:t xml:space="preserve"> </w:t>
      </w:r>
      <w:r>
        <w:rPr>
          <w:rFonts w:cs="Arial" w:ascii="Arial" w:hAnsi="Arial"/>
          <w:b/>
          <w:sz w:val="20"/>
          <w:szCs w:val="20"/>
        </w:rPr>
        <w:t>E</w:t>
      </w:r>
      <w:r>
        <w:rPr>
          <w:rFonts w:cs="Arial" w:ascii="Arial" w:hAnsi="Arial"/>
          <w:b/>
          <w:spacing w:val="-4"/>
          <w:sz w:val="20"/>
          <w:szCs w:val="20"/>
        </w:rPr>
        <w:t xml:space="preserve"> </w:t>
      </w:r>
      <w:r>
        <w:rPr>
          <w:rFonts w:cs="Arial" w:ascii="Arial" w:hAnsi="Arial"/>
          <w:b/>
          <w:sz w:val="20"/>
          <w:szCs w:val="20"/>
        </w:rPr>
        <w:t>SI</w:t>
      </w:r>
      <w:r>
        <w:rPr>
          <w:rFonts w:cs="Arial" w:ascii="Arial" w:hAnsi="Arial"/>
          <w:b/>
          <w:spacing w:val="-4"/>
          <w:sz w:val="20"/>
          <w:szCs w:val="20"/>
        </w:rPr>
        <w:t xml:space="preserve"> </w:t>
      </w:r>
      <w:r>
        <w:rPr>
          <w:rFonts w:cs="Arial" w:ascii="Arial" w:hAnsi="Arial"/>
          <w:b/>
          <w:sz w:val="20"/>
          <w:szCs w:val="20"/>
        </w:rPr>
        <w:t>STIPULA</w:t>
      </w:r>
      <w:r>
        <w:rPr>
          <w:rFonts w:cs="Arial" w:ascii="Arial" w:hAnsi="Arial"/>
          <w:b/>
          <w:spacing w:val="-18"/>
          <w:sz w:val="20"/>
          <w:szCs w:val="20"/>
        </w:rPr>
        <w:t xml:space="preserve"> </w:t>
      </w:r>
      <w:r>
        <w:rPr>
          <w:rFonts w:cs="Arial" w:ascii="Arial" w:hAnsi="Arial"/>
          <w:b/>
          <w:sz w:val="20"/>
          <w:szCs w:val="20"/>
        </w:rPr>
        <w:t>QUANTO</w:t>
      </w:r>
      <w:r>
        <w:rPr>
          <w:rFonts w:cs="Arial" w:ascii="Arial" w:hAnsi="Arial"/>
          <w:b/>
          <w:spacing w:val="-3"/>
          <w:sz w:val="20"/>
          <w:szCs w:val="20"/>
        </w:rPr>
        <w:t xml:space="preserve"> </w:t>
      </w:r>
      <w:r>
        <w:rPr>
          <w:rFonts w:cs="Arial" w:ascii="Arial" w:hAnsi="Arial"/>
          <w:b/>
          <w:sz w:val="20"/>
          <w:szCs w:val="20"/>
        </w:rPr>
        <w:t>SEGUE</w:t>
      </w:r>
    </w:p>
    <w:p>
      <w:pPr>
        <w:pStyle w:val="Corpodeltesto"/>
        <w:spacing w:lineRule="auto" w:line="360"/>
        <w:ind w:left="0" w:hanging="0"/>
        <w:jc w:val="left"/>
        <w:rPr>
          <w:rFonts w:ascii="Arial" w:hAnsi="Arial" w:cs="Arial"/>
          <w:b/>
          <w:b/>
          <w:sz w:val="20"/>
          <w:szCs w:val="20"/>
        </w:rPr>
      </w:pPr>
      <w:r>
        <w:rPr>
          <w:rFonts w:cs="Arial" w:ascii="Arial" w:hAnsi="Arial"/>
          <w:b/>
          <w:sz w:val="20"/>
          <w:szCs w:val="20"/>
        </w:rPr>
      </w:r>
    </w:p>
    <w:p>
      <w:pPr>
        <w:pStyle w:val="Titolo1"/>
        <w:spacing w:lineRule="auto" w:line="360"/>
        <w:ind w:left="42" w:hanging="0"/>
        <w:rPr>
          <w:rFonts w:ascii="Arial" w:hAnsi="Arial" w:cs="Arial"/>
          <w:sz w:val="20"/>
          <w:szCs w:val="20"/>
        </w:rPr>
      </w:pPr>
      <w:bookmarkStart w:id="4" w:name="_bookmark2"/>
      <w:bookmarkStart w:id="5" w:name="Art._1_Ambito_di_operatività_ed_oggetto_"/>
      <w:bookmarkEnd w:id="4"/>
      <w:bookmarkEnd w:id="5"/>
      <w:r>
        <w:rPr>
          <w:rFonts w:cs="Arial" w:ascii="Arial" w:hAnsi="Arial"/>
          <w:sz w:val="20"/>
          <w:szCs w:val="20"/>
        </w:rPr>
        <w:t>Art.</w:t>
      </w:r>
      <w:r>
        <w:rPr>
          <w:rFonts w:cs="Arial" w:ascii="Arial" w:hAnsi="Arial"/>
          <w:spacing w:val="-2"/>
          <w:sz w:val="20"/>
          <w:szCs w:val="20"/>
        </w:rPr>
        <w:t xml:space="preserve"> </w:t>
      </w:r>
      <w:r>
        <w:rPr>
          <w:rFonts w:cs="Arial" w:ascii="Arial" w:hAnsi="Arial"/>
          <w:sz w:val="20"/>
          <w:szCs w:val="20"/>
        </w:rPr>
        <w:t>1</w:t>
      </w:r>
      <w:r>
        <w:rPr>
          <w:rFonts w:cs="Arial" w:ascii="Arial" w:hAnsi="Arial"/>
          <w:spacing w:val="-18"/>
          <w:sz w:val="20"/>
          <w:szCs w:val="20"/>
        </w:rPr>
        <w:t xml:space="preserve"> </w:t>
      </w:r>
      <w:r>
        <w:rPr>
          <w:rFonts w:cs="Arial" w:ascii="Arial" w:hAnsi="Arial"/>
          <w:sz w:val="20"/>
          <w:szCs w:val="20"/>
        </w:rPr>
        <w:t>Ambito</w:t>
      </w:r>
      <w:r>
        <w:rPr>
          <w:rFonts w:cs="Arial" w:ascii="Arial" w:hAnsi="Arial"/>
          <w:spacing w:val="-2"/>
          <w:sz w:val="20"/>
          <w:szCs w:val="20"/>
        </w:rPr>
        <w:t xml:space="preserve"> </w:t>
      </w:r>
      <w:r>
        <w:rPr>
          <w:rFonts w:cs="Arial" w:ascii="Arial" w:hAnsi="Arial"/>
          <w:sz w:val="20"/>
          <w:szCs w:val="20"/>
        </w:rPr>
        <w:t>di</w:t>
      </w:r>
      <w:r>
        <w:rPr>
          <w:rFonts w:cs="Arial" w:ascii="Arial" w:hAnsi="Arial"/>
          <w:spacing w:val="-2"/>
          <w:sz w:val="20"/>
          <w:szCs w:val="20"/>
        </w:rPr>
        <w:t xml:space="preserve"> </w:t>
      </w:r>
      <w:r>
        <w:rPr>
          <w:rFonts w:cs="Arial" w:ascii="Arial" w:hAnsi="Arial"/>
          <w:sz w:val="20"/>
          <w:szCs w:val="20"/>
        </w:rPr>
        <w:t>operatività</w:t>
      </w:r>
      <w:r>
        <w:rPr>
          <w:rFonts w:cs="Arial" w:ascii="Arial" w:hAnsi="Arial"/>
          <w:spacing w:val="-2"/>
          <w:sz w:val="20"/>
          <w:szCs w:val="20"/>
        </w:rPr>
        <w:t xml:space="preserve"> </w:t>
      </w:r>
      <w:r>
        <w:rPr>
          <w:rFonts w:cs="Arial" w:ascii="Arial" w:hAnsi="Arial"/>
          <w:sz w:val="20"/>
          <w:szCs w:val="20"/>
        </w:rPr>
        <w:t>ed</w:t>
      </w:r>
      <w:r>
        <w:rPr>
          <w:rFonts w:cs="Arial" w:ascii="Arial" w:hAnsi="Arial"/>
          <w:spacing w:val="-3"/>
          <w:sz w:val="20"/>
          <w:szCs w:val="20"/>
        </w:rPr>
        <w:t xml:space="preserve"> </w:t>
      </w:r>
      <w:r>
        <w:rPr>
          <w:rFonts w:cs="Arial" w:ascii="Arial" w:hAnsi="Arial"/>
          <w:sz w:val="20"/>
          <w:szCs w:val="20"/>
        </w:rPr>
        <w:t>oggetto</w:t>
      </w:r>
      <w:r>
        <w:rPr>
          <w:rFonts w:cs="Arial" w:ascii="Arial" w:hAnsi="Arial"/>
          <w:spacing w:val="-2"/>
          <w:sz w:val="20"/>
          <w:szCs w:val="20"/>
        </w:rPr>
        <w:t xml:space="preserve"> </w:t>
      </w:r>
      <w:r>
        <w:rPr>
          <w:rFonts w:cs="Arial" w:ascii="Arial" w:hAnsi="Arial"/>
          <w:sz w:val="20"/>
          <w:szCs w:val="20"/>
        </w:rPr>
        <w:t>della</w:t>
      </w:r>
      <w:r>
        <w:rPr>
          <w:rFonts w:cs="Arial" w:ascii="Arial" w:hAnsi="Arial"/>
          <w:spacing w:val="-1"/>
          <w:sz w:val="20"/>
          <w:szCs w:val="20"/>
        </w:rPr>
        <w:t xml:space="preserve"> </w:t>
      </w:r>
      <w:r>
        <w:rPr>
          <w:rFonts w:cs="Arial" w:ascii="Arial" w:hAnsi="Arial"/>
          <w:sz w:val="20"/>
          <w:szCs w:val="20"/>
        </w:rPr>
        <w:t>Convenzione</w:t>
      </w:r>
    </w:p>
    <w:p>
      <w:pPr>
        <w:pStyle w:val="ListParagraph"/>
        <w:numPr>
          <w:ilvl w:val="0"/>
          <w:numId w:val="17"/>
        </w:numPr>
        <w:spacing w:lineRule="auto" w:line="360"/>
        <w:ind w:left="930" w:right="142" w:hanging="360"/>
        <w:rPr>
          <w:rFonts w:ascii="Arial" w:hAnsi="Arial" w:cs="Arial"/>
          <w:sz w:val="20"/>
          <w:szCs w:val="20"/>
        </w:rPr>
      </w:pPr>
      <w:r>
        <w:rPr>
          <w:rFonts w:cs="Arial" w:ascii="Arial" w:hAnsi="Arial"/>
          <w:sz w:val="20"/>
          <w:szCs w:val="20"/>
        </w:rPr>
        <w:t>La presente Convenzione ha per oggetto la costituzione e la gestione di una Stazione Appaltante mediante il conferimento dell’esercizio delle relative funzioni ed attività al Comune di Setzu ai sensi dell’art.</w:t>
      </w:r>
      <w:r>
        <w:rPr>
          <w:rFonts w:cs="Arial" w:ascii="Arial" w:hAnsi="Arial"/>
          <w:spacing w:val="-7"/>
          <w:sz w:val="20"/>
          <w:szCs w:val="20"/>
        </w:rPr>
        <w:t xml:space="preserve"> </w:t>
      </w:r>
      <w:r>
        <w:rPr>
          <w:rFonts w:cs="Arial" w:ascii="Arial" w:hAnsi="Arial"/>
          <w:sz w:val="20"/>
          <w:szCs w:val="20"/>
        </w:rPr>
        <w:t>32</w:t>
      </w:r>
      <w:r>
        <w:rPr>
          <w:rFonts w:cs="Arial" w:ascii="Arial" w:hAnsi="Arial"/>
          <w:spacing w:val="-6"/>
          <w:sz w:val="20"/>
          <w:szCs w:val="20"/>
        </w:rPr>
        <w:t xml:space="preserve"> </w:t>
      </w:r>
      <w:r>
        <w:rPr>
          <w:rFonts w:cs="Arial" w:ascii="Arial" w:hAnsi="Arial"/>
          <w:sz w:val="20"/>
          <w:szCs w:val="20"/>
        </w:rPr>
        <w:t>del</w:t>
      </w:r>
      <w:r>
        <w:rPr>
          <w:rFonts w:cs="Arial" w:ascii="Arial" w:hAnsi="Arial"/>
          <w:spacing w:val="-9"/>
          <w:sz w:val="20"/>
          <w:szCs w:val="20"/>
        </w:rPr>
        <w:t xml:space="preserve"> </w:t>
      </w:r>
      <w:r>
        <w:rPr>
          <w:rFonts w:cs="Arial" w:ascii="Arial" w:hAnsi="Arial"/>
          <w:sz w:val="20"/>
          <w:szCs w:val="20"/>
        </w:rPr>
        <w:t>D.Lgs.</w:t>
      </w:r>
      <w:r>
        <w:rPr>
          <w:rFonts w:cs="Arial" w:ascii="Arial" w:hAnsi="Arial"/>
          <w:spacing w:val="-7"/>
          <w:sz w:val="20"/>
          <w:szCs w:val="20"/>
        </w:rPr>
        <w:t xml:space="preserve"> </w:t>
      </w:r>
      <w:r>
        <w:rPr>
          <w:rFonts w:cs="Arial" w:ascii="Arial" w:hAnsi="Arial"/>
          <w:sz w:val="20"/>
          <w:szCs w:val="20"/>
        </w:rPr>
        <w:t>n.</w:t>
      </w:r>
      <w:r>
        <w:rPr>
          <w:rFonts w:cs="Arial" w:ascii="Arial" w:hAnsi="Arial"/>
          <w:spacing w:val="-9"/>
          <w:sz w:val="20"/>
          <w:szCs w:val="20"/>
        </w:rPr>
        <w:t xml:space="preserve"> </w:t>
      </w:r>
      <w:r>
        <w:rPr>
          <w:rFonts w:cs="Arial" w:ascii="Arial" w:hAnsi="Arial"/>
          <w:sz w:val="20"/>
          <w:szCs w:val="20"/>
        </w:rPr>
        <w:t>267/2000 e</w:t>
      </w:r>
      <w:r>
        <w:rPr>
          <w:rFonts w:cs="Arial" w:ascii="Arial" w:hAnsi="Arial"/>
          <w:spacing w:val="-6"/>
          <w:sz w:val="20"/>
          <w:szCs w:val="20"/>
        </w:rPr>
        <w:t xml:space="preserve"> </w:t>
      </w:r>
      <w:r>
        <w:rPr>
          <w:rFonts w:cs="Arial" w:ascii="Arial" w:hAnsi="Arial"/>
          <w:sz w:val="20"/>
          <w:szCs w:val="20"/>
        </w:rPr>
        <w:t>dell’art.</w:t>
      </w:r>
      <w:r>
        <w:rPr>
          <w:rFonts w:cs="Arial" w:ascii="Arial" w:hAnsi="Arial"/>
          <w:spacing w:val="-7"/>
          <w:sz w:val="20"/>
          <w:szCs w:val="20"/>
        </w:rPr>
        <w:t xml:space="preserve"> </w:t>
      </w:r>
      <w:r>
        <w:rPr>
          <w:rFonts w:cs="Arial" w:ascii="Arial" w:hAnsi="Arial"/>
          <w:sz w:val="20"/>
          <w:szCs w:val="20"/>
        </w:rPr>
        <w:t>63</w:t>
      </w:r>
      <w:r>
        <w:rPr>
          <w:rFonts w:cs="Arial" w:ascii="Arial" w:hAnsi="Arial"/>
          <w:spacing w:val="-6"/>
          <w:sz w:val="20"/>
          <w:szCs w:val="20"/>
        </w:rPr>
        <w:t xml:space="preserve"> </w:t>
      </w:r>
      <w:r>
        <w:rPr>
          <w:rFonts w:cs="Arial" w:ascii="Arial" w:hAnsi="Arial"/>
          <w:sz w:val="20"/>
          <w:szCs w:val="20"/>
        </w:rPr>
        <w:t>del</w:t>
      </w:r>
      <w:r>
        <w:rPr>
          <w:rFonts w:cs="Arial" w:ascii="Arial" w:hAnsi="Arial"/>
          <w:spacing w:val="-6"/>
          <w:sz w:val="20"/>
          <w:szCs w:val="20"/>
        </w:rPr>
        <w:t xml:space="preserve"> </w:t>
      </w:r>
      <w:r>
        <w:rPr>
          <w:rFonts w:cs="Arial" w:ascii="Arial" w:hAnsi="Arial"/>
          <w:sz w:val="20"/>
          <w:szCs w:val="20"/>
        </w:rPr>
        <w:t>d.lgs.</w:t>
      </w:r>
      <w:r>
        <w:rPr>
          <w:rFonts w:cs="Arial" w:ascii="Arial" w:hAnsi="Arial"/>
          <w:spacing w:val="-7"/>
          <w:sz w:val="20"/>
          <w:szCs w:val="20"/>
        </w:rPr>
        <w:t xml:space="preserve"> </w:t>
      </w:r>
      <w:r>
        <w:rPr>
          <w:rFonts w:cs="Arial" w:ascii="Arial" w:hAnsi="Arial"/>
          <w:sz w:val="20"/>
          <w:szCs w:val="20"/>
        </w:rPr>
        <w:t>31</w:t>
      </w:r>
      <w:r>
        <w:rPr>
          <w:rFonts w:cs="Arial" w:ascii="Arial" w:hAnsi="Arial"/>
          <w:spacing w:val="-8"/>
          <w:sz w:val="20"/>
          <w:szCs w:val="20"/>
        </w:rPr>
        <w:t xml:space="preserve"> </w:t>
      </w:r>
      <w:r>
        <w:rPr>
          <w:rFonts w:cs="Arial" w:ascii="Arial" w:hAnsi="Arial"/>
          <w:sz w:val="20"/>
          <w:szCs w:val="20"/>
        </w:rPr>
        <w:t>marzo 2023,</w:t>
      </w:r>
      <w:r>
        <w:rPr>
          <w:rFonts w:cs="Arial" w:ascii="Arial" w:hAnsi="Arial"/>
          <w:spacing w:val="-5"/>
          <w:sz w:val="20"/>
          <w:szCs w:val="20"/>
        </w:rPr>
        <w:t xml:space="preserve"> </w:t>
      </w:r>
      <w:r>
        <w:rPr>
          <w:rFonts w:cs="Arial" w:ascii="Arial" w:hAnsi="Arial"/>
          <w:sz w:val="20"/>
          <w:szCs w:val="20"/>
        </w:rPr>
        <w:t>n.</w:t>
      </w:r>
      <w:r>
        <w:rPr>
          <w:rFonts w:cs="Arial" w:ascii="Arial" w:hAnsi="Arial"/>
          <w:spacing w:val="-2"/>
          <w:sz w:val="20"/>
          <w:szCs w:val="20"/>
        </w:rPr>
        <w:t xml:space="preserve"> </w:t>
      </w:r>
      <w:r>
        <w:rPr>
          <w:rFonts w:cs="Arial" w:ascii="Arial" w:hAnsi="Arial"/>
          <w:spacing w:val="-5"/>
          <w:sz w:val="20"/>
          <w:szCs w:val="20"/>
        </w:rPr>
        <w:t>36.</w:t>
      </w:r>
    </w:p>
    <w:p>
      <w:pPr>
        <w:pStyle w:val="ListParagraph"/>
        <w:numPr>
          <w:ilvl w:val="0"/>
          <w:numId w:val="17"/>
        </w:numPr>
        <w:spacing w:lineRule="auto" w:line="360"/>
        <w:ind w:left="930" w:right="142" w:hanging="360"/>
        <w:rPr>
          <w:rFonts w:ascii="Arial" w:hAnsi="Arial" w:cs="Arial"/>
          <w:sz w:val="20"/>
          <w:szCs w:val="20"/>
        </w:rPr>
      </w:pPr>
      <w:r>
        <w:rPr>
          <w:rFonts w:cs="Arial" w:ascii="Arial" w:hAnsi="Arial"/>
          <w:sz w:val="20"/>
          <w:szCs w:val="20"/>
        </w:rPr>
        <w:t>La Stazione Unica Appaltante (di seguito “S.U.A.”) del Comune di Setzu (di seguito anche solo “Comune”) opera come stazione unica appaltante relativamente all’affidamento di lavori, servizi e forniture ai sensi del combinato disposto dell’art. 63, commi 1 e 4, del Codice dei Contratti Pubblici e dell’art. 1, comma 88, della Legge 7 aprile 2014, n. 56, svolgendo, in favore degli Enti che vi abbiano aderito (di seguito “Enti aderenti”), le attività di committenza di cui alle premesse, come esplicitate nel presente articolo e in quelli seguenti.</w:t>
      </w:r>
    </w:p>
    <w:p>
      <w:pPr>
        <w:pStyle w:val="ListParagraph"/>
        <w:numPr>
          <w:ilvl w:val="0"/>
          <w:numId w:val="17"/>
        </w:numPr>
        <w:spacing w:lineRule="auto" w:line="360"/>
        <w:ind w:left="930" w:right="142" w:hanging="360"/>
        <w:rPr>
          <w:rFonts w:ascii="Arial" w:hAnsi="Arial" w:cs="Arial"/>
          <w:sz w:val="20"/>
          <w:szCs w:val="20"/>
        </w:rPr>
      </w:pPr>
      <w:r>
        <w:rPr>
          <w:rFonts w:cs="Arial" w:ascii="Arial" w:hAnsi="Arial"/>
          <w:sz w:val="20"/>
          <w:szCs w:val="20"/>
        </w:rPr>
        <w:t>La presente Convenzione (di seguito “Convenzione”) disciplina i rapporti tra la S.U.A. e gli Enti aderenti, per lo svolgimento delle procedure di affidamento di contratti per l’acquisto di beni, servizi di importo superiore a euro 750.000,00 o lo svolgimento di lavori per importi superiori ad euro 1.000.000,00.  Qualora gli importi sopra indicati, così come previsti dall’art. 62 del d.lgs. 31 marzo 2023, n. 36, dovessero essere mutati a seguito di modifiche normative, la presente convenzione si adeguerà automaticamente alle nuove soglie, senza necessità di modifica formale.</w:t>
      </w:r>
    </w:p>
    <w:p>
      <w:pPr>
        <w:pStyle w:val="ListParagraph"/>
        <w:numPr>
          <w:ilvl w:val="0"/>
          <w:numId w:val="17"/>
        </w:numPr>
        <w:spacing w:lineRule="auto" w:line="360"/>
        <w:ind w:left="930" w:right="142" w:hanging="360"/>
        <w:rPr>
          <w:rFonts w:ascii="Arial" w:hAnsi="Arial" w:cs="Arial"/>
          <w:sz w:val="20"/>
          <w:szCs w:val="20"/>
        </w:rPr>
      </w:pPr>
      <w:r>
        <w:rPr>
          <w:rFonts w:cs="Arial" w:ascii="Arial" w:hAnsi="Arial"/>
          <w:sz w:val="20"/>
          <w:szCs w:val="20"/>
        </w:rPr>
        <w:t>Fermo restando quanto indicato ai commi precedenti, la presente Convenzione non si applica agli affidamenti per i quali risulti obbligatorio, per l’Ente aderente, ricorrere agli strumenti elettronici di acquisto gestiti da Consip S.p.A. o ad altro soggetto aggregatore di riferimento.</w:t>
      </w:r>
    </w:p>
    <w:p>
      <w:pPr>
        <w:pStyle w:val="ListParagraph"/>
        <w:numPr>
          <w:ilvl w:val="0"/>
          <w:numId w:val="17"/>
        </w:numPr>
        <w:spacing w:lineRule="auto" w:line="360"/>
        <w:ind w:left="930" w:right="142" w:hanging="360"/>
        <w:rPr>
          <w:rFonts w:ascii="Arial" w:hAnsi="Arial" w:cs="Arial"/>
          <w:sz w:val="20"/>
          <w:szCs w:val="20"/>
        </w:rPr>
      </w:pPr>
      <w:r>
        <w:rPr>
          <w:rFonts w:cs="Arial" w:ascii="Arial" w:hAnsi="Arial"/>
          <w:sz w:val="20"/>
          <w:szCs w:val="20"/>
        </w:rPr>
        <w:t>Nelle ipotesi di cui ai precedenti commi 1 e 2, resta possibile per l’Ente aderente richiedere il supporto della S.U.A. nello svolgimento di tali procedure, che si riserva di accogliere o meno la richiesta in base alla programmazione annuale degli acquisti e/o ai carichi di lavoro. Nel caso di accoglimento il supporto consisterà nello svolgimento delle attività specificate all'art. 8.</w:t>
      </w:r>
    </w:p>
    <w:p>
      <w:pPr>
        <w:pStyle w:val="ListParagraph"/>
        <w:numPr>
          <w:ilvl w:val="0"/>
          <w:numId w:val="17"/>
        </w:numPr>
        <w:spacing w:lineRule="auto" w:line="360"/>
        <w:ind w:left="930" w:right="142" w:hanging="360"/>
        <w:rPr>
          <w:rFonts w:ascii="Arial" w:hAnsi="Arial" w:cs="Arial"/>
          <w:sz w:val="20"/>
          <w:szCs w:val="20"/>
        </w:rPr>
      </w:pPr>
      <w:r>
        <w:rPr>
          <w:rFonts w:cs="Arial" w:ascii="Arial" w:hAnsi="Arial"/>
          <w:sz w:val="20"/>
          <w:szCs w:val="20"/>
        </w:rPr>
        <w:t>In caso di servizi o forniture di particolare complessità, o in caso di esigenze comuni a più Enti aderenti, la S.U.A. potrà svolgere la procedura di affidamento su delega, anche per più Enti aderenti, mediante suddivisione in lotti.</w:t>
      </w:r>
    </w:p>
    <w:p>
      <w:pPr>
        <w:pStyle w:val="ListParagraph"/>
        <w:numPr>
          <w:ilvl w:val="0"/>
          <w:numId w:val="17"/>
        </w:numPr>
        <w:spacing w:lineRule="auto" w:line="360"/>
        <w:ind w:left="930" w:right="142" w:hanging="360"/>
        <w:rPr>
          <w:rFonts w:ascii="Arial" w:hAnsi="Arial" w:cs="Arial"/>
          <w:sz w:val="20"/>
          <w:szCs w:val="20"/>
        </w:rPr>
      </w:pPr>
      <w:r>
        <w:rPr>
          <w:rFonts w:cs="Arial" w:ascii="Arial" w:hAnsi="Arial"/>
          <w:sz w:val="20"/>
          <w:szCs w:val="20"/>
        </w:rPr>
        <w:t>Per quanto riguarda gli investimenti pubblici finanziati, in tutto o in parte, con le risorse previste dal PNRR o dal PNC, gli Enti aderenti possono avvalersi della S.U.A. per l’affidamento di contratti di importo pari o superiore a 140 mila euro per servizi e forniture e pari o superiore a 150 mila euro per lavori, e comunque in tutti i casi in cui la disciplina di riferimento lo richieda.</w:t>
      </w:r>
    </w:p>
    <w:p>
      <w:pPr>
        <w:pStyle w:val="ListParagraph"/>
        <w:numPr>
          <w:ilvl w:val="0"/>
          <w:numId w:val="17"/>
        </w:numPr>
        <w:spacing w:lineRule="auto" w:line="360"/>
        <w:ind w:left="930" w:right="142" w:hanging="360"/>
        <w:rPr>
          <w:rFonts w:ascii="Arial" w:hAnsi="Arial" w:cs="Arial"/>
          <w:sz w:val="20"/>
          <w:szCs w:val="20"/>
        </w:rPr>
      </w:pPr>
      <w:r>
        <w:rPr>
          <w:rFonts w:cs="Arial" w:ascii="Arial" w:hAnsi="Arial"/>
          <w:sz w:val="20"/>
          <w:szCs w:val="20"/>
        </w:rPr>
        <w:t>Per quanto riguarda i contratti di concessione e di partenariato pubblico privato, gli Enti aderenti possono avvalersi della S.U.A. se in possesso della qualificazione di cui all’art. 3, comma 5, e all’art. 5, comma 5, dell’allegato II.4.</w:t>
      </w:r>
    </w:p>
    <w:p>
      <w:pPr>
        <w:pStyle w:val="ListParagraph"/>
        <w:numPr>
          <w:ilvl w:val="0"/>
          <w:numId w:val="17"/>
        </w:numPr>
        <w:spacing w:lineRule="auto" w:line="360"/>
        <w:ind w:left="930" w:right="142" w:hanging="360"/>
        <w:rPr>
          <w:rFonts w:ascii="Arial" w:hAnsi="Arial" w:cs="Arial"/>
          <w:sz w:val="20"/>
          <w:szCs w:val="20"/>
        </w:rPr>
      </w:pPr>
      <w:r>
        <w:rPr>
          <w:rFonts w:cs="Arial" w:ascii="Arial" w:hAnsi="Arial"/>
          <w:sz w:val="20"/>
          <w:szCs w:val="20"/>
        </w:rPr>
        <w:t>Alla seguente Convenzione possono aderire gli Enti individuati nelle premesse.</w:t>
      </w:r>
    </w:p>
    <w:p>
      <w:pPr>
        <w:pStyle w:val="Corpodeltesto"/>
        <w:spacing w:lineRule="auto" w:line="360"/>
        <w:ind w:left="0" w:hanging="0"/>
        <w:jc w:val="left"/>
        <w:rPr>
          <w:rFonts w:ascii="Arial" w:hAnsi="Arial" w:cs="Arial"/>
          <w:sz w:val="20"/>
          <w:szCs w:val="20"/>
        </w:rPr>
      </w:pPr>
      <w:r>
        <w:rPr>
          <w:rFonts w:cs="Arial" w:ascii="Arial" w:hAnsi="Arial"/>
          <w:sz w:val="20"/>
          <w:szCs w:val="20"/>
        </w:rPr>
      </w:r>
    </w:p>
    <w:p>
      <w:pPr>
        <w:pStyle w:val="Titolo1"/>
        <w:spacing w:lineRule="auto" w:line="360"/>
        <w:ind w:left="47" w:hanging="0"/>
        <w:rPr>
          <w:rFonts w:ascii="Arial" w:hAnsi="Arial" w:cs="Arial"/>
          <w:sz w:val="20"/>
          <w:szCs w:val="20"/>
        </w:rPr>
      </w:pPr>
      <w:bookmarkStart w:id="6" w:name="_bookmark3"/>
      <w:bookmarkEnd w:id="6"/>
      <w:r>
        <w:rPr>
          <w:rFonts w:cs="Arial" w:ascii="Arial" w:hAnsi="Arial"/>
          <w:sz w:val="20"/>
          <w:szCs w:val="20"/>
        </w:rPr>
        <w:t>Art.</w:t>
      </w:r>
      <w:r>
        <w:rPr>
          <w:rFonts w:cs="Arial" w:ascii="Arial" w:hAnsi="Arial"/>
          <w:spacing w:val="-3"/>
          <w:sz w:val="20"/>
          <w:szCs w:val="20"/>
        </w:rPr>
        <w:t xml:space="preserve"> </w:t>
      </w:r>
      <w:r>
        <w:rPr>
          <w:rFonts w:cs="Arial" w:ascii="Arial" w:hAnsi="Arial"/>
          <w:sz w:val="20"/>
          <w:szCs w:val="20"/>
        </w:rPr>
        <w:t>2</w:t>
      </w:r>
      <w:r>
        <w:rPr>
          <w:rFonts w:cs="Arial" w:ascii="Arial" w:hAnsi="Arial"/>
          <w:spacing w:val="-3"/>
          <w:sz w:val="20"/>
          <w:szCs w:val="20"/>
        </w:rPr>
        <w:t xml:space="preserve"> </w:t>
      </w:r>
      <w:r>
        <w:rPr>
          <w:rFonts w:cs="Arial" w:ascii="Arial" w:hAnsi="Arial"/>
          <w:sz w:val="20"/>
          <w:szCs w:val="20"/>
        </w:rPr>
        <w:t>Principi</w:t>
      </w:r>
      <w:r>
        <w:rPr>
          <w:rFonts w:cs="Arial" w:ascii="Arial" w:hAnsi="Arial"/>
          <w:spacing w:val="-2"/>
          <w:sz w:val="20"/>
          <w:szCs w:val="20"/>
        </w:rPr>
        <w:t xml:space="preserve"> </w:t>
      </w:r>
      <w:r>
        <w:rPr>
          <w:rFonts w:cs="Arial" w:ascii="Arial" w:hAnsi="Arial"/>
          <w:sz w:val="20"/>
          <w:szCs w:val="20"/>
        </w:rPr>
        <w:t>generali</w:t>
      </w:r>
    </w:p>
    <w:p>
      <w:pPr>
        <w:pStyle w:val="ListParagraph"/>
        <w:spacing w:lineRule="auto" w:line="360"/>
        <w:ind w:left="567" w:right="142" w:hanging="0"/>
        <w:rPr>
          <w:rFonts w:ascii="Arial" w:hAnsi="Arial" w:cs="Arial"/>
          <w:sz w:val="20"/>
          <w:szCs w:val="20"/>
        </w:rPr>
      </w:pPr>
      <w:r>
        <w:rPr>
          <w:rFonts w:cs="Arial" w:ascii="Arial" w:hAnsi="Arial"/>
          <w:sz w:val="20"/>
          <w:szCs w:val="20"/>
        </w:rPr>
        <w:t>L’esecuzione della Convenzione e lo svolgimento delle attività ivi disciplinate si conformano ai principi generali dell’azione amministrativa e, in particolare, ai principi di buon andamento, imparzialità, efficacia, efficienza ed economicità.</w:t>
      </w:r>
    </w:p>
    <w:p>
      <w:pPr>
        <w:pStyle w:val="Corpodeltesto"/>
        <w:spacing w:lineRule="auto" w:line="360"/>
        <w:ind w:left="0" w:hanging="0"/>
        <w:jc w:val="left"/>
        <w:rPr>
          <w:rFonts w:ascii="Arial" w:hAnsi="Arial" w:cs="Arial"/>
          <w:sz w:val="20"/>
          <w:szCs w:val="20"/>
        </w:rPr>
      </w:pPr>
      <w:r>
        <w:rPr>
          <w:rFonts w:cs="Arial" w:ascii="Arial" w:hAnsi="Arial"/>
          <w:sz w:val="20"/>
          <w:szCs w:val="20"/>
        </w:rPr>
      </w:r>
    </w:p>
    <w:p>
      <w:pPr>
        <w:pStyle w:val="Titolo1"/>
        <w:spacing w:lineRule="auto" w:line="360"/>
        <w:ind w:left="42" w:hanging="0"/>
        <w:rPr>
          <w:rFonts w:ascii="Arial" w:hAnsi="Arial" w:cs="Arial"/>
          <w:sz w:val="20"/>
          <w:szCs w:val="20"/>
        </w:rPr>
      </w:pPr>
      <w:bookmarkStart w:id="7" w:name="_bookmark4"/>
      <w:bookmarkStart w:id="8" w:name="Art._3_Decorrenza_e_durata_della_convenz"/>
      <w:bookmarkEnd w:id="7"/>
      <w:bookmarkEnd w:id="8"/>
      <w:r>
        <w:rPr>
          <w:rFonts w:cs="Arial" w:ascii="Arial" w:hAnsi="Arial"/>
          <w:sz w:val="20"/>
          <w:szCs w:val="20"/>
        </w:rPr>
        <w:t>Art.</w:t>
      </w:r>
      <w:r>
        <w:rPr>
          <w:rFonts w:cs="Arial" w:ascii="Arial" w:hAnsi="Arial"/>
          <w:spacing w:val="-5"/>
          <w:sz w:val="20"/>
          <w:szCs w:val="20"/>
        </w:rPr>
        <w:t xml:space="preserve"> </w:t>
      </w:r>
      <w:r>
        <w:rPr>
          <w:rFonts w:cs="Arial" w:ascii="Arial" w:hAnsi="Arial"/>
          <w:sz w:val="20"/>
          <w:szCs w:val="20"/>
        </w:rPr>
        <w:t>3</w:t>
      </w:r>
      <w:r>
        <w:rPr>
          <w:rFonts w:cs="Arial" w:ascii="Arial" w:hAnsi="Arial"/>
          <w:spacing w:val="-5"/>
          <w:sz w:val="20"/>
          <w:szCs w:val="20"/>
        </w:rPr>
        <w:t xml:space="preserve"> </w:t>
      </w:r>
      <w:r>
        <w:rPr>
          <w:rFonts w:cs="Arial" w:ascii="Arial" w:hAnsi="Arial"/>
          <w:sz w:val="20"/>
          <w:szCs w:val="20"/>
        </w:rPr>
        <w:t>Decorrenza</w:t>
      </w:r>
      <w:r>
        <w:rPr>
          <w:rFonts w:cs="Arial" w:ascii="Arial" w:hAnsi="Arial"/>
          <w:spacing w:val="-6"/>
          <w:sz w:val="20"/>
          <w:szCs w:val="20"/>
        </w:rPr>
        <w:t xml:space="preserve"> </w:t>
      </w:r>
      <w:r>
        <w:rPr>
          <w:rFonts w:cs="Arial" w:ascii="Arial" w:hAnsi="Arial"/>
          <w:sz w:val="20"/>
          <w:szCs w:val="20"/>
        </w:rPr>
        <w:t>e</w:t>
      </w:r>
      <w:r>
        <w:rPr>
          <w:rFonts w:cs="Arial" w:ascii="Arial" w:hAnsi="Arial"/>
          <w:spacing w:val="-4"/>
          <w:sz w:val="20"/>
          <w:szCs w:val="20"/>
        </w:rPr>
        <w:t xml:space="preserve"> </w:t>
      </w:r>
      <w:r>
        <w:rPr>
          <w:rFonts w:cs="Arial" w:ascii="Arial" w:hAnsi="Arial"/>
          <w:sz w:val="20"/>
          <w:szCs w:val="20"/>
        </w:rPr>
        <w:t>durata</w:t>
      </w:r>
      <w:r>
        <w:rPr>
          <w:rFonts w:cs="Arial" w:ascii="Arial" w:hAnsi="Arial"/>
          <w:spacing w:val="-5"/>
          <w:sz w:val="20"/>
          <w:szCs w:val="20"/>
        </w:rPr>
        <w:t xml:space="preserve"> </w:t>
      </w:r>
      <w:r>
        <w:rPr>
          <w:rFonts w:cs="Arial" w:ascii="Arial" w:hAnsi="Arial"/>
          <w:sz w:val="20"/>
          <w:szCs w:val="20"/>
        </w:rPr>
        <w:t>della</w:t>
      </w:r>
      <w:r>
        <w:rPr>
          <w:rFonts w:cs="Arial" w:ascii="Arial" w:hAnsi="Arial"/>
          <w:spacing w:val="-4"/>
          <w:sz w:val="20"/>
          <w:szCs w:val="20"/>
        </w:rPr>
        <w:t xml:space="preserve"> </w:t>
      </w:r>
      <w:r>
        <w:rPr>
          <w:rFonts w:cs="Arial" w:ascii="Arial" w:hAnsi="Arial"/>
          <w:sz w:val="20"/>
          <w:szCs w:val="20"/>
        </w:rPr>
        <w:t>convenzione</w:t>
      </w:r>
    </w:p>
    <w:p>
      <w:pPr>
        <w:pStyle w:val="Corpodeltesto"/>
        <w:spacing w:lineRule="auto" w:line="360"/>
        <w:ind w:left="0" w:hanging="0"/>
        <w:jc w:val="left"/>
        <w:rPr>
          <w:rFonts w:ascii="Arial" w:hAnsi="Arial" w:cs="Arial"/>
          <w:b/>
          <w:b/>
          <w:sz w:val="20"/>
          <w:szCs w:val="20"/>
        </w:rPr>
      </w:pPr>
      <w:r>
        <w:rPr>
          <w:rFonts w:cs="Arial" w:ascii="Arial" w:hAnsi="Arial"/>
          <w:b/>
          <w:sz w:val="20"/>
          <w:szCs w:val="20"/>
        </w:rPr>
      </w:r>
    </w:p>
    <w:p>
      <w:pPr>
        <w:pStyle w:val="ListParagraph"/>
        <w:spacing w:lineRule="auto" w:line="360"/>
        <w:ind w:left="567" w:right="142" w:hanging="0"/>
        <w:rPr>
          <w:rFonts w:ascii="Arial" w:hAnsi="Arial" w:cs="Arial"/>
          <w:sz w:val="20"/>
          <w:szCs w:val="20"/>
        </w:rPr>
      </w:pPr>
      <w:r>
        <w:rPr>
          <w:rFonts w:cs="Arial" w:ascii="Arial" w:hAnsi="Arial"/>
          <w:sz w:val="20"/>
          <w:szCs w:val="20"/>
        </w:rPr>
        <w:t>La presente convenzione decorre dalla data dell’ultima sottoscrizione, ha durata di 5 anni, ed è rinnovabile, mediante deliberazioni conformi degli Enti associati</w:t>
      </w:r>
      <w:bookmarkStart w:id="9" w:name="_bookmark5"/>
      <w:bookmarkStart w:id="10" w:name="Art._4_Organizzazione_e_dotazione_strume"/>
      <w:bookmarkEnd w:id="9"/>
      <w:bookmarkEnd w:id="10"/>
      <w:r>
        <w:rPr>
          <w:rFonts w:cs="Arial" w:ascii="Arial" w:hAnsi="Arial"/>
          <w:sz w:val="20"/>
          <w:szCs w:val="20"/>
        </w:rPr>
        <w:t xml:space="preserve">. </w:t>
      </w:r>
    </w:p>
    <w:p>
      <w:pPr>
        <w:pStyle w:val="Normal"/>
        <w:spacing w:lineRule="auto" w:line="360"/>
        <w:ind w:left="41" w:hanging="0"/>
        <w:jc w:val="both"/>
        <w:rPr>
          <w:rFonts w:ascii="Arial" w:hAnsi="Arial" w:cs="Arial"/>
          <w:b/>
          <w:b/>
          <w:sz w:val="20"/>
          <w:szCs w:val="20"/>
        </w:rPr>
      </w:pPr>
      <w:r>
        <w:rPr>
          <w:rFonts w:cs="Arial" w:ascii="Arial" w:hAnsi="Arial"/>
          <w:b/>
          <w:sz w:val="20"/>
          <w:szCs w:val="20"/>
        </w:rPr>
      </w:r>
    </w:p>
    <w:p>
      <w:pPr>
        <w:pStyle w:val="Normal"/>
        <w:spacing w:lineRule="auto" w:line="360"/>
        <w:ind w:left="41" w:hanging="0"/>
        <w:jc w:val="center"/>
        <w:rPr>
          <w:rFonts w:ascii="Arial" w:hAnsi="Arial" w:cs="Arial"/>
          <w:b/>
          <w:b/>
          <w:sz w:val="20"/>
          <w:szCs w:val="20"/>
        </w:rPr>
      </w:pPr>
      <w:r>
        <w:rPr>
          <w:rFonts w:cs="Arial" w:ascii="Arial" w:hAnsi="Arial"/>
          <w:b/>
          <w:sz w:val="20"/>
          <w:szCs w:val="20"/>
        </w:rPr>
        <w:t>Art.</w:t>
      </w:r>
      <w:r>
        <w:rPr>
          <w:rFonts w:cs="Arial" w:ascii="Arial" w:hAnsi="Arial"/>
          <w:b/>
          <w:spacing w:val="-4"/>
          <w:sz w:val="20"/>
          <w:szCs w:val="20"/>
        </w:rPr>
        <w:t xml:space="preserve"> </w:t>
      </w:r>
      <w:r>
        <w:rPr>
          <w:rFonts w:cs="Arial" w:ascii="Arial" w:hAnsi="Arial"/>
          <w:b/>
          <w:sz w:val="20"/>
          <w:szCs w:val="20"/>
        </w:rPr>
        <w:t>4</w:t>
      </w:r>
      <w:r>
        <w:rPr>
          <w:rFonts w:cs="Arial" w:ascii="Arial" w:hAnsi="Arial"/>
          <w:b/>
          <w:spacing w:val="-3"/>
          <w:sz w:val="20"/>
          <w:szCs w:val="20"/>
        </w:rPr>
        <w:t xml:space="preserve"> </w:t>
      </w:r>
      <w:r>
        <w:rPr>
          <w:rFonts w:cs="Arial" w:ascii="Arial" w:hAnsi="Arial"/>
          <w:b/>
          <w:sz w:val="20"/>
          <w:szCs w:val="20"/>
        </w:rPr>
        <w:t>Organizzazione</w:t>
      </w:r>
      <w:r>
        <w:rPr>
          <w:rFonts w:cs="Arial" w:ascii="Arial" w:hAnsi="Arial"/>
          <w:b/>
          <w:spacing w:val="-4"/>
          <w:sz w:val="20"/>
          <w:szCs w:val="20"/>
        </w:rPr>
        <w:t xml:space="preserve"> </w:t>
      </w:r>
      <w:r>
        <w:rPr>
          <w:rFonts w:cs="Arial" w:ascii="Arial" w:hAnsi="Arial"/>
          <w:b/>
          <w:sz w:val="20"/>
          <w:szCs w:val="20"/>
        </w:rPr>
        <w:t>e</w:t>
      </w:r>
      <w:r>
        <w:rPr>
          <w:rFonts w:cs="Arial" w:ascii="Arial" w:hAnsi="Arial"/>
          <w:b/>
          <w:spacing w:val="-2"/>
          <w:sz w:val="20"/>
          <w:szCs w:val="20"/>
        </w:rPr>
        <w:t xml:space="preserve"> </w:t>
      </w:r>
      <w:r>
        <w:rPr>
          <w:rFonts w:cs="Arial" w:ascii="Arial" w:hAnsi="Arial"/>
          <w:b/>
          <w:sz w:val="20"/>
          <w:szCs w:val="20"/>
        </w:rPr>
        <w:t>dotazione</w:t>
      </w:r>
      <w:r>
        <w:rPr>
          <w:rFonts w:cs="Arial" w:ascii="Arial" w:hAnsi="Arial"/>
          <w:b/>
          <w:spacing w:val="-4"/>
          <w:sz w:val="20"/>
          <w:szCs w:val="20"/>
        </w:rPr>
        <w:t xml:space="preserve"> </w:t>
      </w:r>
      <w:r>
        <w:rPr>
          <w:rFonts w:cs="Arial" w:ascii="Arial" w:hAnsi="Arial"/>
          <w:b/>
          <w:sz w:val="20"/>
          <w:szCs w:val="20"/>
        </w:rPr>
        <w:t>strumentale</w:t>
      </w:r>
      <w:r>
        <w:rPr>
          <w:rFonts w:cs="Arial" w:ascii="Arial" w:hAnsi="Arial"/>
          <w:b/>
          <w:spacing w:val="-4"/>
          <w:sz w:val="20"/>
          <w:szCs w:val="20"/>
        </w:rPr>
        <w:t xml:space="preserve"> </w:t>
      </w:r>
      <w:r>
        <w:rPr>
          <w:rFonts w:cs="Arial" w:ascii="Arial" w:hAnsi="Arial"/>
          <w:b/>
          <w:sz w:val="20"/>
          <w:szCs w:val="20"/>
        </w:rPr>
        <w:t>della</w:t>
      </w:r>
      <w:r>
        <w:rPr>
          <w:rFonts w:cs="Arial" w:ascii="Arial" w:hAnsi="Arial"/>
          <w:b/>
          <w:spacing w:val="-3"/>
          <w:sz w:val="20"/>
          <w:szCs w:val="20"/>
        </w:rPr>
        <w:t xml:space="preserve"> </w:t>
      </w:r>
      <w:r>
        <w:rPr>
          <w:rFonts w:cs="Arial" w:ascii="Arial" w:hAnsi="Arial"/>
          <w:b/>
          <w:sz w:val="20"/>
          <w:szCs w:val="20"/>
        </w:rPr>
        <w:t>S.U.A.</w:t>
      </w:r>
    </w:p>
    <w:p>
      <w:pPr>
        <w:pStyle w:val="ListParagraph"/>
        <w:numPr>
          <w:ilvl w:val="0"/>
          <w:numId w:val="3"/>
        </w:numPr>
        <w:spacing w:lineRule="auto" w:line="360"/>
        <w:ind w:left="572" w:right="142" w:hanging="360"/>
        <w:rPr>
          <w:rFonts w:ascii="Arial" w:hAnsi="Arial" w:cs="Arial"/>
          <w:sz w:val="20"/>
          <w:szCs w:val="20"/>
        </w:rPr>
      </w:pPr>
      <w:r>
        <w:rPr>
          <w:rFonts w:cs="Arial" w:ascii="Arial" w:hAnsi="Arial"/>
          <w:sz w:val="20"/>
          <w:szCs w:val="20"/>
        </w:rPr>
        <w:t>La S.U.A. opera presso gli uffici operativi del Comune di Setzu in Via Chiesa n° 6 a Setzu (SU).</w:t>
      </w:r>
    </w:p>
    <w:p>
      <w:pPr>
        <w:pStyle w:val="ListParagraph"/>
        <w:numPr>
          <w:ilvl w:val="0"/>
          <w:numId w:val="3"/>
        </w:numPr>
        <w:spacing w:lineRule="auto" w:line="360"/>
        <w:ind w:left="567" w:right="142" w:hanging="357"/>
        <w:rPr>
          <w:rFonts w:ascii="Arial" w:hAnsi="Arial" w:cs="Arial"/>
          <w:sz w:val="20"/>
          <w:szCs w:val="20"/>
        </w:rPr>
      </w:pPr>
      <w:r>
        <w:rPr>
          <w:rFonts w:cs="Arial" w:ascii="Arial" w:hAnsi="Arial"/>
          <w:sz w:val="20"/>
          <w:szCs w:val="20"/>
        </w:rPr>
        <w:t>Il Comune di Setzu mette a disposizione della S.U.A. le attrezzature e i sistemi informatici necessari per lo svolgimento delle attività di competenza.</w:t>
      </w:r>
    </w:p>
    <w:p>
      <w:pPr>
        <w:pStyle w:val="ListParagraph"/>
        <w:numPr>
          <w:ilvl w:val="0"/>
          <w:numId w:val="3"/>
        </w:numPr>
        <w:spacing w:lineRule="auto" w:line="360"/>
        <w:ind w:left="567" w:right="142" w:hanging="357"/>
        <w:rPr>
          <w:rFonts w:ascii="Arial" w:hAnsi="Arial" w:cs="Arial"/>
          <w:sz w:val="20"/>
          <w:szCs w:val="20"/>
        </w:rPr>
      </w:pPr>
      <w:r>
        <w:rPr>
          <w:rFonts w:cs="Arial" w:ascii="Arial" w:hAnsi="Arial"/>
          <w:sz w:val="20"/>
          <w:szCs w:val="20"/>
        </w:rPr>
        <w:t>In particolare, per lo svolgimento delle proprie attività, la S.U.A. utilizza la piattaforma telematica di e-procurement della Regione Sardegna “SARDEGNA CAT”.</w:t>
      </w:r>
    </w:p>
    <w:p>
      <w:pPr>
        <w:pStyle w:val="Normal"/>
        <w:tabs>
          <w:tab w:val="clear" w:pos="720"/>
          <w:tab w:val="left" w:pos="474" w:leader="none"/>
        </w:tabs>
        <w:spacing w:lineRule="auto" w:line="360"/>
        <w:ind w:right="125" w:hanging="0"/>
        <w:rPr>
          <w:rFonts w:ascii="Arial" w:hAnsi="Arial" w:cs="Arial"/>
          <w:color w:val="FF0000"/>
          <w:sz w:val="20"/>
          <w:szCs w:val="20"/>
        </w:rPr>
      </w:pPr>
      <w:r>
        <w:rPr>
          <w:rFonts w:cs="Arial" w:ascii="Arial" w:hAnsi="Arial"/>
          <w:color w:val="FF0000"/>
          <w:sz w:val="20"/>
          <w:szCs w:val="20"/>
        </w:rPr>
      </w:r>
    </w:p>
    <w:p>
      <w:pPr>
        <w:pStyle w:val="Normal"/>
        <w:spacing w:lineRule="auto" w:line="360"/>
        <w:ind w:left="41" w:hanging="0"/>
        <w:jc w:val="center"/>
        <w:rPr>
          <w:rFonts w:ascii="Arial" w:hAnsi="Arial" w:cs="Arial"/>
          <w:b/>
          <w:b/>
          <w:sz w:val="20"/>
          <w:szCs w:val="20"/>
        </w:rPr>
      </w:pPr>
      <w:r>
        <w:rPr>
          <w:rFonts w:cs="Arial" w:ascii="Arial" w:hAnsi="Arial"/>
          <w:b/>
          <w:sz w:val="20"/>
          <w:szCs w:val="20"/>
        </w:rPr>
        <w:t>Art.</w:t>
      </w:r>
      <w:r>
        <w:rPr>
          <w:rFonts w:cs="Arial" w:ascii="Arial" w:hAnsi="Arial"/>
          <w:b/>
          <w:spacing w:val="-4"/>
          <w:sz w:val="20"/>
          <w:szCs w:val="20"/>
        </w:rPr>
        <w:t xml:space="preserve"> </w:t>
      </w:r>
      <w:r>
        <w:rPr>
          <w:rFonts w:cs="Arial" w:ascii="Arial" w:hAnsi="Arial"/>
          <w:b/>
          <w:sz w:val="20"/>
          <w:szCs w:val="20"/>
        </w:rPr>
        <w:t>4-bis</w:t>
      </w:r>
      <w:r>
        <w:rPr>
          <w:rFonts w:cs="Arial" w:ascii="Arial" w:hAnsi="Arial"/>
          <w:b/>
          <w:spacing w:val="-3"/>
          <w:sz w:val="20"/>
          <w:szCs w:val="20"/>
        </w:rPr>
        <w:t xml:space="preserve"> </w:t>
      </w:r>
      <w:r>
        <w:rPr>
          <w:rFonts w:cs="Arial" w:ascii="Arial" w:hAnsi="Arial"/>
          <w:b/>
          <w:sz w:val="20"/>
          <w:szCs w:val="20"/>
        </w:rPr>
        <w:t>Organizzazione</w:t>
      </w:r>
      <w:r>
        <w:rPr>
          <w:rFonts w:cs="Arial" w:ascii="Arial" w:hAnsi="Arial"/>
          <w:b/>
          <w:spacing w:val="-4"/>
          <w:sz w:val="20"/>
          <w:szCs w:val="20"/>
        </w:rPr>
        <w:t xml:space="preserve"> </w:t>
      </w:r>
      <w:r>
        <w:rPr>
          <w:rFonts w:cs="Arial" w:ascii="Arial" w:hAnsi="Arial"/>
          <w:b/>
          <w:sz w:val="20"/>
          <w:szCs w:val="20"/>
        </w:rPr>
        <w:t>e</w:t>
      </w:r>
      <w:r>
        <w:rPr>
          <w:rFonts w:cs="Arial" w:ascii="Arial" w:hAnsi="Arial"/>
          <w:b/>
          <w:spacing w:val="-2"/>
          <w:sz w:val="20"/>
          <w:szCs w:val="20"/>
        </w:rPr>
        <w:t xml:space="preserve"> </w:t>
      </w:r>
      <w:r>
        <w:rPr>
          <w:rFonts w:cs="Arial" w:ascii="Arial" w:hAnsi="Arial"/>
          <w:b/>
          <w:sz w:val="20"/>
          <w:szCs w:val="20"/>
        </w:rPr>
        <w:t>dotazione</w:t>
      </w:r>
      <w:r>
        <w:rPr>
          <w:rFonts w:cs="Arial" w:ascii="Arial" w:hAnsi="Arial"/>
          <w:b/>
          <w:spacing w:val="-4"/>
          <w:sz w:val="20"/>
          <w:szCs w:val="20"/>
        </w:rPr>
        <w:t xml:space="preserve"> </w:t>
      </w:r>
      <w:r>
        <w:rPr>
          <w:rFonts w:cs="Arial" w:ascii="Arial" w:hAnsi="Arial"/>
          <w:b/>
          <w:sz w:val="20"/>
          <w:szCs w:val="20"/>
        </w:rPr>
        <w:t>organica</w:t>
      </w:r>
      <w:r>
        <w:rPr>
          <w:rFonts w:cs="Arial" w:ascii="Arial" w:hAnsi="Arial"/>
          <w:b/>
          <w:spacing w:val="-4"/>
          <w:sz w:val="20"/>
          <w:szCs w:val="20"/>
        </w:rPr>
        <w:t xml:space="preserve"> </w:t>
      </w:r>
      <w:r>
        <w:rPr>
          <w:rFonts w:cs="Arial" w:ascii="Arial" w:hAnsi="Arial"/>
          <w:b/>
          <w:sz w:val="20"/>
          <w:szCs w:val="20"/>
        </w:rPr>
        <w:t>della</w:t>
      </w:r>
      <w:r>
        <w:rPr>
          <w:rFonts w:cs="Arial" w:ascii="Arial" w:hAnsi="Arial"/>
          <w:b/>
          <w:spacing w:val="-3"/>
          <w:sz w:val="20"/>
          <w:szCs w:val="20"/>
        </w:rPr>
        <w:t xml:space="preserve"> </w:t>
      </w:r>
      <w:r>
        <w:rPr>
          <w:rFonts w:cs="Arial" w:ascii="Arial" w:hAnsi="Arial"/>
          <w:b/>
          <w:sz w:val="20"/>
          <w:szCs w:val="20"/>
        </w:rPr>
        <w:t>S.U.A.</w:t>
      </w:r>
    </w:p>
    <w:p>
      <w:pPr>
        <w:pStyle w:val="ListParagraph"/>
        <w:numPr>
          <w:ilvl w:val="0"/>
          <w:numId w:val="4"/>
        </w:numPr>
        <w:spacing w:lineRule="auto" w:line="360"/>
        <w:ind w:left="572" w:right="142" w:hanging="360"/>
        <w:rPr>
          <w:rFonts w:ascii="Arial" w:hAnsi="Arial" w:cs="Arial"/>
          <w:sz w:val="20"/>
          <w:szCs w:val="20"/>
        </w:rPr>
      </w:pPr>
      <w:r>
        <w:rPr>
          <w:rFonts w:cs="Arial" w:ascii="Arial" w:hAnsi="Arial"/>
          <w:sz w:val="20"/>
          <w:szCs w:val="20"/>
        </w:rPr>
        <w:t>La struttura organizzativa viene definita dalla Giunta Comunale e potrà essere adeguata nel tempo per soddisfare le esigenze sopravvenute e per conformarsi al mutato contesto strutturale e normativo.</w:t>
      </w:r>
    </w:p>
    <w:p>
      <w:pPr>
        <w:pStyle w:val="ListParagraph"/>
        <w:numPr>
          <w:ilvl w:val="0"/>
          <w:numId w:val="4"/>
        </w:numPr>
        <w:spacing w:lineRule="auto" w:line="360"/>
        <w:ind w:left="572" w:right="142" w:hanging="360"/>
        <w:rPr>
          <w:rFonts w:ascii="Arial" w:hAnsi="Arial" w:cs="Arial"/>
          <w:sz w:val="20"/>
          <w:szCs w:val="20"/>
        </w:rPr>
      </w:pPr>
      <w:r>
        <w:rPr>
          <w:rFonts w:cs="Arial" w:ascii="Arial" w:hAnsi="Arial"/>
          <w:sz w:val="20"/>
          <w:szCs w:val="20"/>
        </w:rPr>
        <w:t>Al fine di garantire la dotazione organica della struttura organizzativa, il Comune di Setzu si avvale di propri dipendenti, già assunti od assunti successivamente da destinare al nuovo servizio.</w:t>
      </w:r>
    </w:p>
    <w:p>
      <w:pPr>
        <w:pStyle w:val="ListParagraph"/>
        <w:numPr>
          <w:ilvl w:val="0"/>
          <w:numId w:val="4"/>
        </w:numPr>
        <w:spacing w:lineRule="auto" w:line="360"/>
        <w:ind w:left="572" w:right="142" w:hanging="360"/>
        <w:rPr>
          <w:rFonts w:ascii="Arial" w:hAnsi="Arial" w:cs="Arial"/>
          <w:sz w:val="20"/>
          <w:szCs w:val="20"/>
        </w:rPr>
      </w:pPr>
      <w:r>
        <w:rPr>
          <w:rFonts w:cs="Arial" w:ascii="Arial" w:hAnsi="Arial"/>
          <w:sz w:val="20"/>
          <w:szCs w:val="20"/>
        </w:rPr>
        <w:t>La struttura organizzativa preposta è responsabile per le attività di centralizzazione della committenza e nel suo ambito è nominato un RUP (Responsabile Unico del Progetto) che cura i necessari raccordi con l’Ente aderente che, eventualmente, nomina un responsabile del procedimento per le attività di propria pertinenza.</w:t>
      </w:r>
    </w:p>
    <w:p>
      <w:pPr>
        <w:pStyle w:val="ListParagraph"/>
        <w:numPr>
          <w:ilvl w:val="0"/>
          <w:numId w:val="4"/>
        </w:numPr>
        <w:spacing w:lineRule="auto" w:line="360"/>
        <w:ind w:left="572" w:right="142" w:hanging="360"/>
        <w:rPr>
          <w:rFonts w:ascii="Arial" w:hAnsi="Arial" w:cs="Arial"/>
          <w:sz w:val="20"/>
          <w:szCs w:val="20"/>
        </w:rPr>
      </w:pPr>
      <w:r>
        <w:rPr>
          <w:rFonts w:cs="Arial" w:ascii="Arial" w:hAnsi="Arial"/>
          <w:sz w:val="20"/>
          <w:szCs w:val="20"/>
        </w:rPr>
        <w:t>A pena di efficacia della presente convenzione, gli Enti aderenti si impegnano ad ottemperare a tutti gli obblighi amministrativi derivanti dalla gestione, da parte del Comune di Setzu, della funzione oggetto della presente convenzione ed al rispetto delle norme regolamentari predisposte dal Comune di Setzu.</w:t>
      </w:r>
    </w:p>
    <w:p>
      <w:pPr>
        <w:pStyle w:val="Corpodeltesto"/>
        <w:spacing w:lineRule="auto" w:line="360"/>
        <w:ind w:left="0" w:hanging="0"/>
        <w:jc w:val="left"/>
        <w:rPr>
          <w:rFonts w:ascii="Arial" w:hAnsi="Arial" w:cs="Arial"/>
          <w:sz w:val="20"/>
          <w:szCs w:val="20"/>
        </w:rPr>
      </w:pPr>
      <w:r>
        <w:rPr>
          <w:rFonts w:cs="Arial" w:ascii="Arial" w:hAnsi="Arial"/>
          <w:sz w:val="20"/>
          <w:szCs w:val="20"/>
        </w:rPr>
      </w:r>
    </w:p>
    <w:p>
      <w:pPr>
        <w:pStyle w:val="Titolo1"/>
        <w:spacing w:lineRule="auto" w:line="360"/>
        <w:ind w:left="41" w:hanging="0"/>
        <w:rPr>
          <w:rFonts w:ascii="Arial" w:hAnsi="Arial" w:cs="Arial"/>
          <w:sz w:val="20"/>
          <w:szCs w:val="20"/>
        </w:rPr>
      </w:pPr>
      <w:bookmarkStart w:id="11" w:name="_bookmark6"/>
      <w:bookmarkStart w:id="12" w:name="Art._5_Nomina_dei_soggetti_Responsabili_"/>
      <w:bookmarkEnd w:id="11"/>
      <w:bookmarkEnd w:id="12"/>
      <w:r>
        <w:rPr>
          <w:rFonts w:cs="Arial" w:ascii="Arial" w:hAnsi="Arial"/>
          <w:sz w:val="20"/>
          <w:szCs w:val="20"/>
        </w:rPr>
        <w:t>Art.</w:t>
      </w:r>
      <w:r>
        <w:rPr>
          <w:rFonts w:cs="Arial" w:ascii="Arial" w:hAnsi="Arial"/>
          <w:spacing w:val="-4"/>
          <w:sz w:val="20"/>
          <w:szCs w:val="20"/>
        </w:rPr>
        <w:t xml:space="preserve"> </w:t>
      </w:r>
      <w:r>
        <w:rPr>
          <w:rFonts w:cs="Arial" w:ascii="Arial" w:hAnsi="Arial"/>
          <w:sz w:val="20"/>
          <w:szCs w:val="20"/>
        </w:rPr>
        <w:t>5</w:t>
      </w:r>
      <w:r>
        <w:rPr>
          <w:rFonts w:cs="Arial" w:ascii="Arial" w:hAnsi="Arial"/>
          <w:spacing w:val="-4"/>
          <w:sz w:val="20"/>
          <w:szCs w:val="20"/>
        </w:rPr>
        <w:t xml:space="preserve"> </w:t>
      </w:r>
      <w:r>
        <w:rPr>
          <w:rFonts w:cs="Arial" w:ascii="Arial" w:hAnsi="Arial"/>
          <w:sz w:val="20"/>
          <w:szCs w:val="20"/>
        </w:rPr>
        <w:t>Nomina</w:t>
      </w:r>
      <w:r>
        <w:rPr>
          <w:rFonts w:cs="Arial" w:ascii="Arial" w:hAnsi="Arial"/>
          <w:spacing w:val="-5"/>
          <w:sz w:val="20"/>
          <w:szCs w:val="20"/>
        </w:rPr>
        <w:t xml:space="preserve"> </w:t>
      </w:r>
      <w:r>
        <w:rPr>
          <w:rFonts w:cs="Arial" w:ascii="Arial" w:hAnsi="Arial"/>
          <w:sz w:val="20"/>
          <w:szCs w:val="20"/>
        </w:rPr>
        <w:t>dei</w:t>
      </w:r>
      <w:r>
        <w:rPr>
          <w:rFonts w:cs="Arial" w:ascii="Arial" w:hAnsi="Arial"/>
          <w:spacing w:val="-4"/>
          <w:sz w:val="20"/>
          <w:szCs w:val="20"/>
        </w:rPr>
        <w:t xml:space="preserve"> </w:t>
      </w:r>
      <w:r>
        <w:rPr>
          <w:rFonts w:cs="Arial" w:ascii="Arial" w:hAnsi="Arial"/>
          <w:sz w:val="20"/>
          <w:szCs w:val="20"/>
        </w:rPr>
        <w:t>soggetti</w:t>
      </w:r>
      <w:r>
        <w:rPr>
          <w:rFonts w:cs="Arial" w:ascii="Arial" w:hAnsi="Arial"/>
          <w:spacing w:val="-4"/>
          <w:sz w:val="20"/>
          <w:szCs w:val="20"/>
        </w:rPr>
        <w:t xml:space="preserve"> </w:t>
      </w:r>
      <w:r>
        <w:rPr>
          <w:rFonts w:cs="Arial" w:ascii="Arial" w:hAnsi="Arial"/>
          <w:sz w:val="20"/>
          <w:szCs w:val="20"/>
        </w:rPr>
        <w:t>Responsabili</w:t>
      </w:r>
      <w:r>
        <w:rPr>
          <w:rFonts w:cs="Arial" w:ascii="Arial" w:hAnsi="Arial"/>
          <w:spacing w:val="-4"/>
          <w:sz w:val="20"/>
          <w:szCs w:val="20"/>
        </w:rPr>
        <w:t xml:space="preserve"> </w:t>
      </w:r>
      <w:r>
        <w:rPr>
          <w:rFonts w:cs="Arial" w:ascii="Arial" w:hAnsi="Arial"/>
          <w:sz w:val="20"/>
          <w:szCs w:val="20"/>
        </w:rPr>
        <w:t>e</w:t>
      </w:r>
      <w:r>
        <w:rPr>
          <w:rFonts w:cs="Arial" w:ascii="Arial" w:hAnsi="Arial"/>
          <w:spacing w:val="-5"/>
          <w:sz w:val="20"/>
          <w:szCs w:val="20"/>
        </w:rPr>
        <w:t xml:space="preserve"> </w:t>
      </w:r>
      <w:r>
        <w:rPr>
          <w:rFonts w:cs="Arial" w:ascii="Arial" w:hAnsi="Arial"/>
          <w:sz w:val="20"/>
          <w:szCs w:val="20"/>
        </w:rPr>
        <w:t>relative</w:t>
      </w:r>
      <w:r>
        <w:rPr>
          <w:rFonts w:cs="Arial" w:ascii="Arial" w:hAnsi="Arial"/>
          <w:spacing w:val="-3"/>
          <w:sz w:val="20"/>
          <w:szCs w:val="20"/>
        </w:rPr>
        <w:t xml:space="preserve"> </w:t>
      </w:r>
      <w:r>
        <w:rPr>
          <w:rFonts w:cs="Arial" w:ascii="Arial" w:hAnsi="Arial"/>
          <w:sz w:val="20"/>
          <w:szCs w:val="20"/>
        </w:rPr>
        <w:t>comunicazioni</w:t>
      </w:r>
    </w:p>
    <w:p>
      <w:pPr>
        <w:pStyle w:val="ListParagraph"/>
        <w:spacing w:lineRule="auto" w:line="360"/>
        <w:ind w:left="567" w:right="142" w:hanging="0"/>
        <w:rPr>
          <w:rFonts w:ascii="Arial" w:hAnsi="Arial" w:cs="Arial"/>
          <w:sz w:val="20"/>
          <w:szCs w:val="20"/>
        </w:rPr>
      </w:pPr>
      <w:r>
        <w:rPr>
          <w:rFonts w:cs="Arial" w:ascii="Arial" w:hAnsi="Arial"/>
          <w:sz w:val="20"/>
          <w:szCs w:val="20"/>
        </w:rPr>
        <w:t>Per ciascun affidamento svolto in applicazione della presente Convenzione:</w:t>
      </w:r>
    </w:p>
    <w:p>
      <w:pPr>
        <w:pStyle w:val="ListParagraph"/>
        <w:numPr>
          <w:ilvl w:val="0"/>
          <w:numId w:val="5"/>
        </w:numPr>
        <w:spacing w:lineRule="auto" w:line="360"/>
        <w:ind w:left="572" w:right="142" w:hanging="360"/>
        <w:rPr>
          <w:rFonts w:ascii="Arial" w:hAnsi="Arial" w:cs="Arial"/>
          <w:sz w:val="20"/>
          <w:szCs w:val="20"/>
        </w:rPr>
      </w:pPr>
      <w:r>
        <w:rPr>
          <w:rFonts w:cs="Arial" w:ascii="Arial" w:hAnsi="Arial"/>
          <w:sz w:val="20"/>
          <w:szCs w:val="20"/>
        </w:rPr>
        <w:t>La S.U.A. del Comune di Setzu nomina il Responsabile Unico del Progetto (RUP), che svolge le funzioni di cui all’articolo 15 del D.Lgs. 36/2023 relativamente alle fasi di programmazione, progettazione, affidamento ed esecuzione del lavoro pubblico e del servizio e della fornitura, che non siano specificatamente attribuite ad altri soggetti;</w:t>
      </w:r>
    </w:p>
    <w:p>
      <w:pPr>
        <w:pStyle w:val="ListParagraph"/>
        <w:numPr>
          <w:ilvl w:val="0"/>
          <w:numId w:val="5"/>
        </w:numPr>
        <w:spacing w:lineRule="auto" w:line="360"/>
        <w:ind w:left="572" w:right="142" w:hanging="360"/>
        <w:rPr>
          <w:rFonts w:ascii="Arial" w:hAnsi="Arial" w:cs="Arial"/>
          <w:sz w:val="20"/>
          <w:szCs w:val="20"/>
        </w:rPr>
      </w:pPr>
      <w:r>
        <w:rPr>
          <w:rFonts w:cs="Arial" w:ascii="Arial" w:hAnsi="Arial"/>
          <w:sz w:val="20"/>
          <w:szCs w:val="20"/>
        </w:rPr>
        <w:t>in caso di gara su delega, anche svolta per più Enti aderenti mediante suddivisione</w:t>
      </w:r>
      <w:r>
        <w:rPr>
          <w:rFonts w:cs="Arial" w:ascii="Arial" w:hAnsi="Arial"/>
          <w:spacing w:val="1"/>
          <w:sz w:val="20"/>
          <w:szCs w:val="20"/>
        </w:rPr>
        <w:t xml:space="preserve"> </w:t>
      </w:r>
      <w:r>
        <w:rPr>
          <w:rFonts w:cs="Arial" w:ascii="Arial" w:hAnsi="Arial"/>
          <w:sz w:val="20"/>
          <w:szCs w:val="20"/>
        </w:rPr>
        <w:t>in</w:t>
      </w:r>
      <w:r>
        <w:rPr>
          <w:rFonts w:cs="Arial" w:ascii="Arial" w:hAnsi="Arial"/>
          <w:spacing w:val="1"/>
          <w:sz w:val="20"/>
          <w:szCs w:val="20"/>
        </w:rPr>
        <w:t xml:space="preserve"> </w:t>
      </w:r>
      <w:r>
        <w:rPr>
          <w:rFonts w:cs="Arial" w:ascii="Arial" w:hAnsi="Arial"/>
          <w:sz w:val="20"/>
          <w:szCs w:val="20"/>
        </w:rPr>
        <w:t>lotti, la S.U.A. del Comune di Setzu nomina il Responsabile Unico del Progetto (RUP), che svolge le funzioni di cui all’articolo 15 del D.Lgs. 36/2023, relativamente alla fase di gestione della procedura di gara, assicurando il corretto svolgimento delle attività di competenza della S.U.A., come previste nella presente Convenzione;</w:t>
      </w:r>
    </w:p>
    <w:p>
      <w:pPr>
        <w:pStyle w:val="ListParagraph"/>
        <w:numPr>
          <w:ilvl w:val="0"/>
          <w:numId w:val="5"/>
        </w:numPr>
        <w:spacing w:lineRule="auto" w:line="360"/>
        <w:ind w:left="572" w:right="142" w:hanging="360"/>
        <w:rPr>
          <w:rFonts w:ascii="Arial" w:hAnsi="Arial" w:cs="Arial"/>
          <w:sz w:val="20"/>
          <w:szCs w:val="20"/>
        </w:rPr>
      </w:pPr>
      <w:r>
        <w:rPr>
          <w:rFonts w:cs="Arial" w:ascii="Arial" w:hAnsi="Arial"/>
          <w:sz w:val="20"/>
          <w:szCs w:val="20"/>
        </w:rPr>
        <w:t>in caso di gara aggregata, la S.U.A. del Comune di Setzu nomina il Responsabile Unico del Progetto</w:t>
      </w:r>
      <w:r>
        <w:rPr>
          <w:rFonts w:cs="Arial" w:ascii="Arial" w:hAnsi="Arial"/>
          <w:spacing w:val="1"/>
          <w:sz w:val="20"/>
          <w:szCs w:val="20"/>
        </w:rPr>
        <w:t xml:space="preserve"> </w:t>
      </w:r>
      <w:r>
        <w:rPr>
          <w:rFonts w:cs="Arial" w:ascii="Arial" w:hAnsi="Arial"/>
          <w:sz w:val="20"/>
          <w:szCs w:val="20"/>
        </w:rPr>
        <w:t>(RUP), che svolge le funzioni di cui all’articolo 15 del D.Lgs. 36/2023, relativamente</w:t>
      </w:r>
      <w:r>
        <w:rPr>
          <w:rFonts w:cs="Arial" w:ascii="Arial" w:hAnsi="Arial"/>
          <w:spacing w:val="1"/>
          <w:sz w:val="20"/>
          <w:szCs w:val="20"/>
        </w:rPr>
        <w:t xml:space="preserve"> </w:t>
      </w:r>
      <w:r>
        <w:rPr>
          <w:rFonts w:cs="Arial" w:ascii="Arial" w:hAnsi="Arial"/>
          <w:sz w:val="20"/>
          <w:szCs w:val="20"/>
        </w:rPr>
        <w:t>alle fasi e alle attività direttamente imputabili alla Stazione Unica Appaltante come</w:t>
      </w:r>
      <w:r>
        <w:rPr>
          <w:rFonts w:cs="Arial" w:ascii="Arial" w:hAnsi="Arial"/>
          <w:spacing w:val="1"/>
          <w:sz w:val="20"/>
          <w:szCs w:val="20"/>
        </w:rPr>
        <w:t xml:space="preserve"> </w:t>
      </w:r>
      <w:r>
        <w:rPr>
          <w:rFonts w:cs="Arial" w:ascii="Arial" w:hAnsi="Arial"/>
          <w:sz w:val="20"/>
          <w:szCs w:val="20"/>
        </w:rPr>
        <w:t>previsto all’articolo 62 del D.Lgs.</w:t>
      </w:r>
      <w:r>
        <w:rPr>
          <w:rFonts w:cs="Arial" w:ascii="Arial" w:hAnsi="Arial"/>
          <w:spacing w:val="-1"/>
          <w:sz w:val="20"/>
          <w:szCs w:val="20"/>
        </w:rPr>
        <w:t xml:space="preserve"> </w:t>
      </w:r>
      <w:r>
        <w:rPr>
          <w:rFonts w:cs="Arial" w:ascii="Arial" w:hAnsi="Arial"/>
          <w:sz w:val="20"/>
          <w:szCs w:val="20"/>
        </w:rPr>
        <w:t>36/2023.</w:t>
      </w:r>
    </w:p>
    <w:p>
      <w:pPr>
        <w:pStyle w:val="Titolo1"/>
        <w:spacing w:lineRule="auto" w:line="360"/>
        <w:ind w:left="1008" w:hanging="0"/>
        <w:jc w:val="left"/>
        <w:rPr>
          <w:rFonts w:ascii="Arial" w:hAnsi="Arial" w:cs="Arial"/>
          <w:sz w:val="20"/>
          <w:szCs w:val="20"/>
        </w:rPr>
      </w:pPr>
      <w:r>
        <w:rPr>
          <w:rFonts w:cs="Arial" w:ascii="Arial" w:hAnsi="Arial"/>
          <w:sz w:val="20"/>
          <w:szCs w:val="20"/>
        </w:rPr>
      </w:r>
      <w:bookmarkStart w:id="13" w:name="_bookmark7"/>
      <w:bookmarkStart w:id="14" w:name="Art._6_Raccolta_dei_fabbisogni_e_program"/>
      <w:bookmarkStart w:id="15" w:name="_bookmark7"/>
      <w:bookmarkStart w:id="16" w:name="Art._6_Raccolta_dei_fabbisogni_e_program"/>
      <w:bookmarkEnd w:id="15"/>
      <w:bookmarkEnd w:id="16"/>
    </w:p>
    <w:p>
      <w:pPr>
        <w:pStyle w:val="Titolo1"/>
        <w:spacing w:lineRule="auto" w:line="360"/>
        <w:ind w:left="41" w:hanging="0"/>
        <w:rPr>
          <w:rFonts w:ascii="Arial" w:hAnsi="Arial" w:cs="Arial"/>
          <w:sz w:val="20"/>
          <w:szCs w:val="20"/>
        </w:rPr>
      </w:pPr>
      <w:r>
        <w:rPr>
          <w:rFonts w:cs="Arial" w:ascii="Arial" w:hAnsi="Arial"/>
          <w:sz w:val="20"/>
          <w:szCs w:val="20"/>
        </w:rPr>
        <w:t>Art.</w:t>
      </w:r>
      <w:r>
        <w:rPr>
          <w:rFonts w:cs="Arial" w:ascii="Arial" w:hAnsi="Arial"/>
          <w:spacing w:val="-4"/>
          <w:sz w:val="20"/>
          <w:szCs w:val="20"/>
        </w:rPr>
        <w:t xml:space="preserve"> </w:t>
      </w:r>
      <w:r>
        <w:rPr>
          <w:rFonts w:cs="Arial" w:ascii="Arial" w:hAnsi="Arial"/>
          <w:sz w:val="20"/>
          <w:szCs w:val="20"/>
        </w:rPr>
        <w:t>6</w:t>
      </w:r>
      <w:r>
        <w:rPr>
          <w:rFonts w:cs="Arial" w:ascii="Arial" w:hAnsi="Arial"/>
          <w:spacing w:val="-3"/>
          <w:sz w:val="20"/>
          <w:szCs w:val="20"/>
        </w:rPr>
        <w:t xml:space="preserve"> </w:t>
      </w:r>
      <w:r>
        <w:rPr>
          <w:rFonts w:cs="Arial" w:ascii="Arial" w:hAnsi="Arial"/>
          <w:sz w:val="20"/>
          <w:szCs w:val="20"/>
        </w:rPr>
        <w:t>Raccolta</w:t>
      </w:r>
      <w:r>
        <w:rPr>
          <w:rFonts w:cs="Arial" w:ascii="Arial" w:hAnsi="Arial"/>
          <w:spacing w:val="-3"/>
          <w:sz w:val="20"/>
          <w:szCs w:val="20"/>
        </w:rPr>
        <w:t xml:space="preserve"> </w:t>
      </w:r>
      <w:r>
        <w:rPr>
          <w:rFonts w:cs="Arial" w:ascii="Arial" w:hAnsi="Arial"/>
          <w:sz w:val="20"/>
          <w:szCs w:val="20"/>
        </w:rPr>
        <w:t>dei</w:t>
      </w:r>
      <w:r>
        <w:rPr>
          <w:rFonts w:cs="Arial" w:ascii="Arial" w:hAnsi="Arial"/>
          <w:spacing w:val="-3"/>
          <w:sz w:val="20"/>
          <w:szCs w:val="20"/>
        </w:rPr>
        <w:t xml:space="preserve"> </w:t>
      </w:r>
      <w:r>
        <w:rPr>
          <w:rFonts w:cs="Arial" w:ascii="Arial" w:hAnsi="Arial"/>
          <w:sz w:val="20"/>
          <w:szCs w:val="20"/>
        </w:rPr>
        <w:t>fabbisogni</w:t>
      </w:r>
      <w:r>
        <w:rPr>
          <w:rFonts w:cs="Arial" w:ascii="Arial" w:hAnsi="Arial"/>
          <w:spacing w:val="-3"/>
          <w:sz w:val="20"/>
          <w:szCs w:val="20"/>
        </w:rPr>
        <w:t xml:space="preserve"> </w:t>
      </w:r>
      <w:r>
        <w:rPr>
          <w:rFonts w:cs="Arial" w:ascii="Arial" w:hAnsi="Arial"/>
          <w:sz w:val="20"/>
          <w:szCs w:val="20"/>
        </w:rPr>
        <w:t>e</w:t>
      </w:r>
      <w:r>
        <w:rPr>
          <w:rFonts w:cs="Arial" w:ascii="Arial" w:hAnsi="Arial"/>
          <w:spacing w:val="-4"/>
          <w:sz w:val="20"/>
          <w:szCs w:val="20"/>
        </w:rPr>
        <w:t xml:space="preserve"> </w:t>
      </w:r>
      <w:r>
        <w:rPr>
          <w:rFonts w:cs="Arial" w:ascii="Arial" w:hAnsi="Arial"/>
          <w:sz w:val="20"/>
          <w:szCs w:val="20"/>
        </w:rPr>
        <w:t>programmazione</w:t>
      </w:r>
      <w:r>
        <w:rPr>
          <w:rFonts w:cs="Arial" w:ascii="Arial" w:hAnsi="Arial"/>
          <w:spacing w:val="-3"/>
          <w:sz w:val="20"/>
          <w:szCs w:val="20"/>
        </w:rPr>
        <w:t xml:space="preserve"> </w:t>
      </w:r>
      <w:r>
        <w:rPr>
          <w:rFonts w:cs="Arial" w:ascii="Arial" w:hAnsi="Arial"/>
          <w:sz w:val="20"/>
          <w:szCs w:val="20"/>
        </w:rPr>
        <w:t>degli</w:t>
      </w:r>
      <w:r>
        <w:rPr>
          <w:rFonts w:cs="Arial" w:ascii="Arial" w:hAnsi="Arial"/>
          <w:spacing w:val="-3"/>
          <w:sz w:val="20"/>
          <w:szCs w:val="20"/>
        </w:rPr>
        <w:t xml:space="preserve"> </w:t>
      </w:r>
      <w:r>
        <w:rPr>
          <w:rFonts w:cs="Arial" w:ascii="Arial" w:hAnsi="Arial"/>
          <w:sz w:val="20"/>
          <w:szCs w:val="20"/>
        </w:rPr>
        <w:t>affidamenti.</w:t>
      </w:r>
    </w:p>
    <w:p>
      <w:pPr>
        <w:pStyle w:val="ListParagraph"/>
        <w:numPr>
          <w:ilvl w:val="0"/>
          <w:numId w:val="6"/>
        </w:numPr>
        <w:spacing w:lineRule="auto" w:line="360"/>
        <w:ind w:left="572" w:right="142" w:hanging="360"/>
        <w:rPr>
          <w:rFonts w:ascii="Arial" w:hAnsi="Arial" w:cs="Arial"/>
          <w:sz w:val="20"/>
          <w:szCs w:val="20"/>
        </w:rPr>
      </w:pPr>
      <w:r>
        <w:rPr>
          <w:rFonts w:cs="Arial" w:ascii="Arial" w:hAnsi="Arial"/>
          <w:sz w:val="20"/>
          <w:szCs w:val="20"/>
        </w:rPr>
        <w:t>Per consentire alla S.U.A. di programmare le proprie attività e individuare possibili meccanismi di razionalizzazione degli acquisti, l’Ente aderente trasmette alla S.U.A., l'elenco degli affidamenti che intende effettuare tramite la S.U.A. nell’arco del triennio successivo, entro il 15 settembre di ogni anno, e comunque contestualmente all’approvazione di eventuali modifiche o integrazioni,  corredato da tutte le informazioni necessarie per la corretta predisposizione degli atti di gara, inclusa l’indicazione di eventuali scadenze temporali per l’avvio o la conclusione delle procedure, anche derivanti dalle condizioni poste da eventuali finanziamenti ottenuti. Resta inteso che per gli affidamenti di lavori la predetta calendarizzazione è facoltativa.</w:t>
      </w:r>
    </w:p>
    <w:p>
      <w:pPr>
        <w:pStyle w:val="ListParagraph"/>
        <w:numPr>
          <w:ilvl w:val="0"/>
          <w:numId w:val="6"/>
        </w:numPr>
        <w:spacing w:lineRule="auto" w:line="360"/>
        <w:ind w:left="572" w:right="142" w:hanging="360"/>
        <w:rPr>
          <w:rFonts w:ascii="Arial" w:hAnsi="Arial" w:cs="Arial"/>
          <w:sz w:val="20"/>
          <w:szCs w:val="20"/>
        </w:rPr>
      </w:pPr>
      <w:r>
        <w:rPr>
          <w:rFonts w:cs="Arial" w:ascii="Arial" w:hAnsi="Arial"/>
          <w:sz w:val="20"/>
          <w:szCs w:val="20"/>
        </w:rPr>
        <w:t>Sulla base dei fabbisogni ricevuti, la S.U.A. definisce l’elenco delle procedure che saranno svolte nell’arco del triennio, all’interno del quale sono indicate:</w:t>
      </w:r>
    </w:p>
    <w:p>
      <w:pPr>
        <w:pStyle w:val="ListParagraph"/>
        <w:numPr>
          <w:ilvl w:val="0"/>
          <w:numId w:val="7"/>
        </w:numPr>
        <w:tabs>
          <w:tab w:val="clear" w:pos="720"/>
          <w:tab w:val="left" w:pos="321" w:leader="none"/>
        </w:tabs>
        <w:spacing w:lineRule="auto" w:line="360"/>
        <w:rPr>
          <w:rFonts w:ascii="Arial" w:hAnsi="Arial" w:cs="Arial"/>
          <w:sz w:val="20"/>
          <w:szCs w:val="20"/>
        </w:rPr>
      </w:pPr>
      <w:r>
        <w:rPr>
          <w:rFonts w:cs="Arial" w:ascii="Arial" w:hAnsi="Arial"/>
          <w:sz w:val="20"/>
          <w:szCs w:val="20"/>
        </w:rPr>
        <w:t>le</w:t>
      </w:r>
      <w:r>
        <w:rPr>
          <w:rFonts w:cs="Arial" w:ascii="Arial" w:hAnsi="Arial"/>
          <w:spacing w:val="-3"/>
          <w:sz w:val="20"/>
          <w:szCs w:val="20"/>
        </w:rPr>
        <w:t xml:space="preserve"> </w:t>
      </w:r>
      <w:r>
        <w:rPr>
          <w:rFonts w:cs="Arial" w:ascii="Arial" w:hAnsi="Arial"/>
          <w:sz w:val="20"/>
          <w:szCs w:val="20"/>
        </w:rPr>
        <w:t>procedure</w:t>
      </w:r>
      <w:r>
        <w:rPr>
          <w:rFonts w:cs="Arial" w:ascii="Arial" w:hAnsi="Arial"/>
          <w:spacing w:val="-3"/>
          <w:sz w:val="20"/>
          <w:szCs w:val="20"/>
        </w:rPr>
        <w:t xml:space="preserve"> </w:t>
      </w:r>
      <w:r>
        <w:rPr>
          <w:rFonts w:cs="Arial" w:ascii="Arial" w:hAnsi="Arial"/>
          <w:sz w:val="20"/>
          <w:szCs w:val="20"/>
        </w:rPr>
        <w:t>che</w:t>
      </w:r>
      <w:r>
        <w:rPr>
          <w:rFonts w:cs="Arial" w:ascii="Arial" w:hAnsi="Arial"/>
          <w:spacing w:val="-2"/>
          <w:sz w:val="20"/>
          <w:szCs w:val="20"/>
        </w:rPr>
        <w:t xml:space="preserve"> </w:t>
      </w:r>
      <w:r>
        <w:rPr>
          <w:rFonts w:cs="Arial" w:ascii="Arial" w:hAnsi="Arial"/>
          <w:sz w:val="20"/>
          <w:szCs w:val="20"/>
        </w:rPr>
        <w:t>saranno</w:t>
      </w:r>
      <w:r>
        <w:rPr>
          <w:rFonts w:cs="Arial" w:ascii="Arial" w:hAnsi="Arial"/>
          <w:spacing w:val="-3"/>
          <w:sz w:val="20"/>
          <w:szCs w:val="20"/>
        </w:rPr>
        <w:t xml:space="preserve"> </w:t>
      </w:r>
      <w:r>
        <w:rPr>
          <w:rFonts w:cs="Arial" w:ascii="Arial" w:hAnsi="Arial"/>
          <w:sz w:val="20"/>
          <w:szCs w:val="20"/>
        </w:rPr>
        <w:t>svolte</w:t>
      </w:r>
      <w:r>
        <w:rPr>
          <w:rFonts w:cs="Arial" w:ascii="Arial" w:hAnsi="Arial"/>
          <w:spacing w:val="-3"/>
          <w:sz w:val="20"/>
          <w:szCs w:val="20"/>
        </w:rPr>
        <w:t xml:space="preserve"> </w:t>
      </w:r>
      <w:r>
        <w:rPr>
          <w:rFonts w:cs="Arial" w:ascii="Arial" w:hAnsi="Arial"/>
          <w:sz w:val="20"/>
          <w:szCs w:val="20"/>
        </w:rPr>
        <w:t>nell’arco</w:t>
      </w:r>
      <w:r>
        <w:rPr>
          <w:rFonts w:cs="Arial" w:ascii="Arial" w:hAnsi="Arial"/>
          <w:spacing w:val="-2"/>
          <w:sz w:val="20"/>
          <w:szCs w:val="20"/>
        </w:rPr>
        <w:t xml:space="preserve"> </w:t>
      </w:r>
      <w:r>
        <w:rPr>
          <w:rFonts w:cs="Arial" w:ascii="Arial" w:hAnsi="Arial"/>
          <w:sz w:val="20"/>
          <w:szCs w:val="20"/>
        </w:rPr>
        <w:t>del</w:t>
      </w:r>
      <w:r>
        <w:rPr>
          <w:rFonts w:cs="Arial" w:ascii="Arial" w:hAnsi="Arial"/>
          <w:spacing w:val="2"/>
          <w:sz w:val="20"/>
          <w:szCs w:val="20"/>
        </w:rPr>
        <w:t xml:space="preserve"> </w:t>
      </w:r>
      <w:r>
        <w:rPr>
          <w:rFonts w:cs="Arial" w:ascii="Arial" w:hAnsi="Arial"/>
          <w:sz w:val="20"/>
          <w:szCs w:val="20"/>
        </w:rPr>
        <w:t>triennio;</w:t>
      </w:r>
    </w:p>
    <w:p>
      <w:pPr>
        <w:pStyle w:val="ListParagraph"/>
        <w:numPr>
          <w:ilvl w:val="0"/>
          <w:numId w:val="7"/>
        </w:numPr>
        <w:tabs>
          <w:tab w:val="clear" w:pos="720"/>
          <w:tab w:val="left" w:pos="321" w:leader="none"/>
        </w:tabs>
        <w:spacing w:lineRule="auto" w:line="360"/>
        <w:rPr>
          <w:rFonts w:ascii="Arial" w:hAnsi="Arial" w:cs="Arial"/>
          <w:sz w:val="20"/>
          <w:szCs w:val="20"/>
        </w:rPr>
      </w:pPr>
      <w:r>
        <w:rPr>
          <w:rFonts w:cs="Arial" w:ascii="Arial" w:hAnsi="Arial"/>
          <w:sz w:val="20"/>
          <w:szCs w:val="20"/>
        </w:rPr>
        <w:t>le</w:t>
      </w:r>
      <w:r>
        <w:rPr>
          <w:rFonts w:cs="Arial" w:ascii="Arial" w:hAnsi="Arial"/>
          <w:spacing w:val="-3"/>
          <w:sz w:val="20"/>
          <w:szCs w:val="20"/>
        </w:rPr>
        <w:t xml:space="preserve"> </w:t>
      </w:r>
      <w:r>
        <w:rPr>
          <w:rFonts w:cs="Arial" w:ascii="Arial" w:hAnsi="Arial"/>
          <w:sz w:val="20"/>
          <w:szCs w:val="20"/>
        </w:rPr>
        <w:t>tempistiche</w:t>
      </w:r>
      <w:r>
        <w:rPr>
          <w:rFonts w:cs="Arial" w:ascii="Arial" w:hAnsi="Arial"/>
          <w:spacing w:val="-3"/>
          <w:sz w:val="20"/>
          <w:szCs w:val="20"/>
        </w:rPr>
        <w:t xml:space="preserve"> </w:t>
      </w:r>
      <w:r>
        <w:rPr>
          <w:rFonts w:cs="Arial" w:ascii="Arial" w:hAnsi="Arial"/>
          <w:sz w:val="20"/>
          <w:szCs w:val="20"/>
        </w:rPr>
        <w:t>stimate</w:t>
      </w:r>
      <w:r>
        <w:rPr>
          <w:rFonts w:cs="Arial" w:ascii="Arial" w:hAnsi="Arial"/>
          <w:spacing w:val="-1"/>
          <w:sz w:val="20"/>
          <w:szCs w:val="20"/>
        </w:rPr>
        <w:t xml:space="preserve"> </w:t>
      </w:r>
      <w:r>
        <w:rPr>
          <w:rFonts w:cs="Arial" w:ascii="Arial" w:hAnsi="Arial"/>
          <w:sz w:val="20"/>
          <w:szCs w:val="20"/>
        </w:rPr>
        <w:t>per</w:t>
      </w:r>
      <w:r>
        <w:rPr>
          <w:rFonts w:cs="Arial" w:ascii="Arial" w:hAnsi="Arial"/>
          <w:spacing w:val="-2"/>
          <w:sz w:val="20"/>
          <w:szCs w:val="20"/>
        </w:rPr>
        <w:t xml:space="preserve"> </w:t>
      </w:r>
      <w:r>
        <w:rPr>
          <w:rFonts w:cs="Arial" w:ascii="Arial" w:hAnsi="Arial"/>
          <w:sz w:val="20"/>
          <w:szCs w:val="20"/>
        </w:rPr>
        <w:t>ciascuna</w:t>
      </w:r>
      <w:r>
        <w:rPr>
          <w:rFonts w:cs="Arial" w:ascii="Arial" w:hAnsi="Arial"/>
          <w:spacing w:val="-3"/>
          <w:sz w:val="20"/>
          <w:szCs w:val="20"/>
        </w:rPr>
        <w:t xml:space="preserve"> </w:t>
      </w:r>
      <w:r>
        <w:rPr>
          <w:rFonts w:cs="Arial" w:ascii="Arial" w:hAnsi="Arial"/>
          <w:sz w:val="20"/>
          <w:szCs w:val="20"/>
        </w:rPr>
        <w:t>procedura;</w:t>
      </w:r>
    </w:p>
    <w:p>
      <w:pPr>
        <w:pStyle w:val="ListParagraph"/>
        <w:numPr>
          <w:ilvl w:val="0"/>
          <w:numId w:val="7"/>
        </w:numPr>
        <w:tabs>
          <w:tab w:val="clear" w:pos="720"/>
          <w:tab w:val="left" w:pos="321" w:leader="none"/>
        </w:tabs>
        <w:spacing w:lineRule="auto" w:line="360"/>
        <w:rPr>
          <w:rFonts w:ascii="Arial" w:hAnsi="Arial" w:cs="Arial"/>
          <w:sz w:val="20"/>
          <w:szCs w:val="20"/>
        </w:rPr>
      </w:pPr>
      <w:r>
        <w:rPr>
          <w:rFonts w:cs="Arial" w:ascii="Arial" w:hAnsi="Arial"/>
          <w:sz w:val="20"/>
          <w:szCs w:val="20"/>
        </w:rPr>
        <w:t>eventuali</w:t>
      </w:r>
      <w:r>
        <w:rPr>
          <w:rFonts w:cs="Arial" w:ascii="Arial" w:hAnsi="Arial"/>
          <w:spacing w:val="-1"/>
          <w:sz w:val="20"/>
          <w:szCs w:val="20"/>
        </w:rPr>
        <w:t xml:space="preserve"> </w:t>
      </w:r>
      <w:r>
        <w:rPr>
          <w:rFonts w:cs="Arial" w:ascii="Arial" w:hAnsi="Arial"/>
          <w:sz w:val="20"/>
          <w:szCs w:val="20"/>
        </w:rPr>
        <w:t>scadenze</w:t>
      </w:r>
      <w:r>
        <w:rPr>
          <w:rFonts w:cs="Arial" w:ascii="Arial" w:hAnsi="Arial"/>
          <w:spacing w:val="-1"/>
          <w:sz w:val="20"/>
          <w:szCs w:val="20"/>
        </w:rPr>
        <w:t xml:space="preserve"> </w:t>
      </w:r>
      <w:r>
        <w:rPr>
          <w:rFonts w:cs="Arial" w:ascii="Arial" w:hAnsi="Arial"/>
          <w:sz w:val="20"/>
          <w:szCs w:val="20"/>
        </w:rPr>
        <w:t>da</w:t>
      </w:r>
      <w:r>
        <w:rPr>
          <w:rFonts w:cs="Arial" w:ascii="Arial" w:hAnsi="Arial"/>
          <w:spacing w:val="-2"/>
          <w:sz w:val="20"/>
          <w:szCs w:val="20"/>
        </w:rPr>
        <w:t xml:space="preserve"> </w:t>
      </w:r>
      <w:r>
        <w:rPr>
          <w:rFonts w:cs="Arial" w:ascii="Arial" w:hAnsi="Arial"/>
          <w:sz w:val="20"/>
          <w:szCs w:val="20"/>
        </w:rPr>
        <w:t>rispettare</w:t>
      </w:r>
      <w:r>
        <w:rPr>
          <w:rFonts w:cs="Arial" w:ascii="Arial" w:hAnsi="Arial"/>
          <w:spacing w:val="-3"/>
          <w:sz w:val="20"/>
          <w:szCs w:val="20"/>
        </w:rPr>
        <w:t xml:space="preserve"> </w:t>
      </w:r>
      <w:r>
        <w:rPr>
          <w:rFonts w:cs="Arial" w:ascii="Arial" w:hAnsi="Arial"/>
          <w:sz w:val="20"/>
          <w:szCs w:val="20"/>
        </w:rPr>
        <w:t>da</w:t>
      </w:r>
      <w:r>
        <w:rPr>
          <w:rFonts w:cs="Arial" w:ascii="Arial" w:hAnsi="Arial"/>
          <w:spacing w:val="-2"/>
          <w:sz w:val="20"/>
          <w:szCs w:val="20"/>
        </w:rPr>
        <w:t xml:space="preserve"> </w:t>
      </w:r>
      <w:r>
        <w:rPr>
          <w:rFonts w:cs="Arial" w:ascii="Arial" w:hAnsi="Arial"/>
          <w:sz w:val="20"/>
          <w:szCs w:val="20"/>
        </w:rPr>
        <w:t>parte</w:t>
      </w:r>
      <w:r>
        <w:rPr>
          <w:rFonts w:cs="Arial" w:ascii="Arial" w:hAnsi="Arial"/>
          <w:spacing w:val="-3"/>
          <w:sz w:val="20"/>
          <w:szCs w:val="20"/>
        </w:rPr>
        <w:t xml:space="preserve"> </w:t>
      </w:r>
      <w:r>
        <w:rPr>
          <w:rFonts w:cs="Arial" w:ascii="Arial" w:hAnsi="Arial"/>
          <w:sz w:val="20"/>
          <w:szCs w:val="20"/>
        </w:rPr>
        <w:t>degli</w:t>
      </w:r>
      <w:r>
        <w:rPr>
          <w:rFonts w:cs="Arial" w:ascii="Arial" w:hAnsi="Arial"/>
          <w:spacing w:val="-2"/>
          <w:sz w:val="20"/>
          <w:szCs w:val="20"/>
        </w:rPr>
        <w:t xml:space="preserve"> </w:t>
      </w:r>
      <w:r>
        <w:rPr>
          <w:rFonts w:cs="Arial" w:ascii="Arial" w:hAnsi="Arial"/>
          <w:sz w:val="20"/>
          <w:szCs w:val="20"/>
        </w:rPr>
        <w:t>Enti</w:t>
      </w:r>
      <w:r>
        <w:rPr>
          <w:rFonts w:cs="Arial" w:ascii="Arial" w:hAnsi="Arial"/>
          <w:spacing w:val="-3"/>
          <w:sz w:val="20"/>
          <w:szCs w:val="20"/>
        </w:rPr>
        <w:t xml:space="preserve"> </w:t>
      </w:r>
      <w:r>
        <w:rPr>
          <w:rFonts w:cs="Arial" w:ascii="Arial" w:hAnsi="Arial"/>
          <w:sz w:val="20"/>
          <w:szCs w:val="20"/>
        </w:rPr>
        <w:t>aderenti.</w:t>
      </w:r>
    </w:p>
    <w:p>
      <w:pPr>
        <w:pStyle w:val="ListParagraph"/>
        <w:numPr>
          <w:ilvl w:val="0"/>
          <w:numId w:val="6"/>
        </w:numPr>
        <w:spacing w:lineRule="auto" w:line="360"/>
        <w:ind w:left="572" w:right="142" w:hanging="360"/>
        <w:rPr>
          <w:rFonts w:ascii="Arial" w:hAnsi="Arial" w:cs="Arial"/>
          <w:sz w:val="20"/>
          <w:szCs w:val="20"/>
        </w:rPr>
      </w:pPr>
      <w:r>
        <w:rPr>
          <w:rFonts w:cs="Arial" w:ascii="Arial" w:hAnsi="Arial"/>
          <w:sz w:val="20"/>
          <w:szCs w:val="20"/>
        </w:rPr>
        <w:t>L’elenco è definito sulla base dei seguenti criteri:</w:t>
      </w:r>
    </w:p>
    <w:p>
      <w:pPr>
        <w:pStyle w:val="ListParagraph"/>
        <w:numPr>
          <w:ilvl w:val="0"/>
          <w:numId w:val="7"/>
        </w:numPr>
        <w:tabs>
          <w:tab w:val="clear" w:pos="720"/>
          <w:tab w:val="left" w:pos="321" w:leader="none"/>
        </w:tabs>
        <w:spacing w:lineRule="auto" w:line="360"/>
        <w:rPr>
          <w:rFonts w:ascii="Arial" w:hAnsi="Arial" w:cs="Arial"/>
          <w:sz w:val="20"/>
          <w:szCs w:val="20"/>
        </w:rPr>
      </w:pPr>
      <w:r>
        <w:rPr>
          <w:rFonts w:cs="Arial" w:ascii="Arial" w:hAnsi="Arial"/>
          <w:sz w:val="20"/>
          <w:szCs w:val="20"/>
        </w:rPr>
        <w:t>il tipo di procedura e il criterio di selezione delle offerte;</w:t>
      </w:r>
    </w:p>
    <w:p>
      <w:pPr>
        <w:pStyle w:val="ListParagraph"/>
        <w:numPr>
          <w:ilvl w:val="0"/>
          <w:numId w:val="7"/>
        </w:numPr>
        <w:tabs>
          <w:tab w:val="clear" w:pos="720"/>
          <w:tab w:val="left" w:pos="326" w:leader="none"/>
        </w:tabs>
        <w:spacing w:lineRule="auto" w:line="360"/>
        <w:rPr>
          <w:rFonts w:ascii="Arial" w:hAnsi="Arial" w:cs="Arial"/>
          <w:sz w:val="20"/>
          <w:szCs w:val="20"/>
        </w:rPr>
      </w:pPr>
      <w:r>
        <w:rPr>
          <w:rFonts w:cs="Arial" w:ascii="Arial" w:hAnsi="Arial"/>
          <w:sz w:val="20"/>
          <w:szCs w:val="20"/>
        </w:rPr>
        <w:t>la possibilità di accorpare procedure relative a due o più Enti aderenti, in presenza di fabbisogni e scadenze omogenei;</w:t>
      </w:r>
    </w:p>
    <w:p>
      <w:pPr>
        <w:pStyle w:val="ListParagraph"/>
        <w:numPr>
          <w:ilvl w:val="0"/>
          <w:numId w:val="7"/>
        </w:numPr>
        <w:tabs>
          <w:tab w:val="clear" w:pos="720"/>
          <w:tab w:val="left" w:pos="321" w:leader="none"/>
        </w:tabs>
        <w:spacing w:lineRule="auto" w:line="360"/>
        <w:rPr>
          <w:rFonts w:ascii="Arial" w:hAnsi="Arial" w:cs="Arial"/>
          <w:sz w:val="20"/>
          <w:szCs w:val="20"/>
        </w:rPr>
      </w:pPr>
      <w:r>
        <w:rPr>
          <w:rFonts w:cs="Arial" w:ascii="Arial" w:hAnsi="Arial"/>
          <w:sz w:val="20"/>
          <w:szCs w:val="20"/>
        </w:rPr>
        <w:t>eventuali condizioni di urgenza, purché compatibili con le tempistiche della procedura, con particolare riguardo ai casi in cui sia stata manifestata la necessità di rispettare eventuali tempi connessi all’impiego di finanziamenti ottenuti per la realizzazione degli interventi;</w:t>
      </w:r>
    </w:p>
    <w:p>
      <w:pPr>
        <w:pStyle w:val="ListParagraph"/>
        <w:numPr>
          <w:ilvl w:val="0"/>
          <w:numId w:val="7"/>
        </w:numPr>
        <w:tabs>
          <w:tab w:val="clear" w:pos="720"/>
          <w:tab w:val="left" w:pos="321" w:leader="none"/>
        </w:tabs>
        <w:spacing w:lineRule="auto" w:line="360"/>
        <w:rPr>
          <w:rFonts w:ascii="Arial" w:hAnsi="Arial" w:cs="Arial"/>
          <w:sz w:val="20"/>
          <w:szCs w:val="20"/>
        </w:rPr>
      </w:pPr>
      <w:r>
        <w:rPr>
          <w:rFonts w:cs="Arial" w:ascii="Arial" w:hAnsi="Arial"/>
          <w:sz w:val="20"/>
          <w:szCs w:val="20"/>
        </w:rPr>
        <w:t>la priorità da accordare alle procedure di affidamento per le quali il ricorso alla S.U.A. sia   obbligatorio, o   comunque   l’Ente   aderente   non   possa   procedere direttamente, rispetto ai casi in cui non lo sia.</w:t>
      </w:r>
    </w:p>
    <w:p>
      <w:pPr>
        <w:pStyle w:val="ListParagraph"/>
        <w:numPr>
          <w:ilvl w:val="0"/>
          <w:numId w:val="6"/>
        </w:numPr>
        <w:spacing w:lineRule="auto" w:line="360"/>
        <w:ind w:left="572" w:right="142" w:hanging="360"/>
        <w:rPr>
          <w:rFonts w:ascii="Arial" w:hAnsi="Arial" w:cs="Arial"/>
          <w:sz w:val="20"/>
          <w:szCs w:val="20"/>
        </w:rPr>
      </w:pPr>
      <w:r>
        <w:rPr>
          <w:rFonts w:cs="Arial" w:ascii="Arial" w:hAnsi="Arial"/>
          <w:sz w:val="20"/>
          <w:szCs w:val="20"/>
        </w:rPr>
        <w:t>L’Elenco è condiviso con gli Enti aderenti entro il 30 novembre di ogni anno.</w:t>
      </w:r>
    </w:p>
    <w:p>
      <w:pPr>
        <w:pStyle w:val="ListParagraph"/>
        <w:numPr>
          <w:ilvl w:val="0"/>
          <w:numId w:val="6"/>
        </w:numPr>
        <w:spacing w:lineRule="auto" w:line="360"/>
        <w:ind w:left="572" w:right="142" w:hanging="360"/>
        <w:rPr>
          <w:rFonts w:ascii="Arial" w:hAnsi="Arial" w:cs="Arial"/>
          <w:sz w:val="20"/>
          <w:szCs w:val="20"/>
        </w:rPr>
      </w:pPr>
      <w:r>
        <w:rPr>
          <w:rFonts w:cs="Arial" w:ascii="Arial" w:hAnsi="Arial"/>
          <w:sz w:val="20"/>
          <w:szCs w:val="20"/>
        </w:rPr>
        <w:t>Nell’arco dell’anno la S.U.A. è comunque disponibile a valutare eventuali richieste non previste nell’Elenco condiviso, ai fini dell’aggiornamento dello stesso, ove compatibili con le procedure già calendarizzate e tenuto conto dei criteri di cui al comma 3 del presente articolo.</w:t>
      </w:r>
    </w:p>
    <w:p>
      <w:pPr>
        <w:pStyle w:val="ListParagraph"/>
        <w:numPr>
          <w:ilvl w:val="0"/>
          <w:numId w:val="6"/>
        </w:numPr>
        <w:spacing w:lineRule="auto" w:line="360"/>
        <w:ind w:left="572" w:right="142" w:hanging="360"/>
        <w:rPr>
          <w:rFonts w:ascii="Arial" w:hAnsi="Arial" w:cs="Arial"/>
          <w:sz w:val="20"/>
          <w:szCs w:val="20"/>
        </w:rPr>
      </w:pPr>
      <w:r>
        <w:rPr>
          <w:rFonts w:cs="Arial" w:ascii="Arial" w:hAnsi="Arial"/>
          <w:sz w:val="20"/>
          <w:szCs w:val="20"/>
        </w:rPr>
        <w:t>Nel caso in cui, per una procedura trasmessa alla S.U.A. dall’Ente convenzionato ed inserita nell’Elenco, l’Ente convenzionato non rispetti, in relazione alle attività di propria competenza, le tempistiche indicate dalla S.U.A la procedura non sarà più svolta nell’anno indicato ma dovrà essere riproposta l’anno successivo.</w:t>
      </w:r>
    </w:p>
    <w:p>
      <w:pPr>
        <w:pStyle w:val="Corpodeltesto"/>
        <w:spacing w:lineRule="auto" w:line="360"/>
        <w:ind w:left="0" w:hanging="0"/>
        <w:jc w:val="left"/>
        <w:rPr>
          <w:rFonts w:ascii="Arial" w:hAnsi="Arial" w:cs="Arial"/>
          <w:sz w:val="20"/>
          <w:szCs w:val="20"/>
        </w:rPr>
      </w:pPr>
      <w:r>
        <w:rPr>
          <w:rFonts w:cs="Arial" w:ascii="Arial" w:hAnsi="Arial"/>
          <w:sz w:val="20"/>
          <w:szCs w:val="20"/>
        </w:rPr>
      </w:r>
    </w:p>
    <w:p>
      <w:pPr>
        <w:pStyle w:val="Titolo1"/>
        <w:spacing w:lineRule="auto" w:line="360"/>
        <w:rPr>
          <w:rFonts w:ascii="Arial" w:hAnsi="Arial" w:cs="Arial"/>
          <w:sz w:val="20"/>
          <w:szCs w:val="20"/>
        </w:rPr>
      </w:pPr>
      <w:bookmarkStart w:id="17" w:name="_bookmark8"/>
      <w:bookmarkStart w:id="18" w:name="Art._7_Progettazione_della_gara_e_avvio_"/>
      <w:bookmarkEnd w:id="17"/>
      <w:bookmarkEnd w:id="18"/>
      <w:r>
        <w:rPr>
          <w:rFonts w:cs="Arial" w:ascii="Arial" w:hAnsi="Arial"/>
          <w:sz w:val="20"/>
          <w:szCs w:val="20"/>
        </w:rPr>
        <w:t>Art.</w:t>
      </w:r>
      <w:r>
        <w:rPr>
          <w:rFonts w:cs="Arial" w:ascii="Arial" w:hAnsi="Arial"/>
          <w:spacing w:val="-4"/>
          <w:sz w:val="20"/>
          <w:szCs w:val="20"/>
        </w:rPr>
        <w:t xml:space="preserve"> </w:t>
      </w:r>
      <w:r>
        <w:rPr>
          <w:rFonts w:cs="Arial" w:ascii="Arial" w:hAnsi="Arial"/>
          <w:sz w:val="20"/>
          <w:szCs w:val="20"/>
        </w:rPr>
        <w:t>7</w:t>
      </w:r>
      <w:r>
        <w:rPr>
          <w:rFonts w:cs="Arial" w:ascii="Arial" w:hAnsi="Arial"/>
          <w:spacing w:val="-3"/>
          <w:sz w:val="20"/>
          <w:szCs w:val="20"/>
        </w:rPr>
        <w:t xml:space="preserve"> </w:t>
      </w:r>
      <w:r>
        <w:rPr>
          <w:rFonts w:cs="Arial" w:ascii="Arial" w:hAnsi="Arial"/>
          <w:sz w:val="20"/>
          <w:szCs w:val="20"/>
        </w:rPr>
        <w:t>Progettazione</w:t>
      </w:r>
      <w:r>
        <w:rPr>
          <w:rFonts w:cs="Arial" w:ascii="Arial" w:hAnsi="Arial"/>
          <w:spacing w:val="-3"/>
          <w:sz w:val="20"/>
          <w:szCs w:val="20"/>
        </w:rPr>
        <w:t xml:space="preserve"> </w:t>
      </w:r>
      <w:r>
        <w:rPr>
          <w:rFonts w:cs="Arial" w:ascii="Arial" w:hAnsi="Arial"/>
          <w:sz w:val="20"/>
          <w:szCs w:val="20"/>
        </w:rPr>
        <w:t>della</w:t>
      </w:r>
      <w:r>
        <w:rPr>
          <w:rFonts w:cs="Arial" w:ascii="Arial" w:hAnsi="Arial"/>
          <w:spacing w:val="-4"/>
          <w:sz w:val="20"/>
          <w:szCs w:val="20"/>
        </w:rPr>
        <w:t xml:space="preserve"> </w:t>
      </w:r>
      <w:r>
        <w:rPr>
          <w:rFonts w:cs="Arial" w:ascii="Arial" w:hAnsi="Arial"/>
          <w:sz w:val="20"/>
          <w:szCs w:val="20"/>
        </w:rPr>
        <w:t>gara</w:t>
      </w:r>
      <w:r>
        <w:rPr>
          <w:rFonts w:cs="Arial" w:ascii="Arial" w:hAnsi="Arial"/>
          <w:spacing w:val="-2"/>
          <w:sz w:val="20"/>
          <w:szCs w:val="20"/>
        </w:rPr>
        <w:t xml:space="preserve"> </w:t>
      </w:r>
      <w:r>
        <w:rPr>
          <w:rFonts w:cs="Arial" w:ascii="Arial" w:hAnsi="Arial"/>
          <w:sz w:val="20"/>
          <w:szCs w:val="20"/>
        </w:rPr>
        <w:t>e</w:t>
      </w:r>
      <w:r>
        <w:rPr>
          <w:rFonts w:cs="Arial" w:ascii="Arial" w:hAnsi="Arial"/>
          <w:spacing w:val="-4"/>
          <w:sz w:val="20"/>
          <w:szCs w:val="20"/>
        </w:rPr>
        <w:t xml:space="preserve"> </w:t>
      </w:r>
      <w:r>
        <w:rPr>
          <w:rFonts w:cs="Arial" w:ascii="Arial" w:hAnsi="Arial"/>
          <w:sz w:val="20"/>
          <w:szCs w:val="20"/>
        </w:rPr>
        <w:t>avvio</w:t>
      </w:r>
      <w:r>
        <w:rPr>
          <w:rFonts w:cs="Arial" w:ascii="Arial" w:hAnsi="Arial"/>
          <w:spacing w:val="-4"/>
          <w:sz w:val="20"/>
          <w:szCs w:val="20"/>
        </w:rPr>
        <w:t xml:space="preserve"> </w:t>
      </w:r>
      <w:r>
        <w:rPr>
          <w:rFonts w:cs="Arial" w:ascii="Arial" w:hAnsi="Arial"/>
          <w:sz w:val="20"/>
          <w:szCs w:val="20"/>
        </w:rPr>
        <w:t>del</w:t>
      </w:r>
      <w:r>
        <w:rPr>
          <w:rFonts w:cs="Arial" w:ascii="Arial" w:hAnsi="Arial"/>
          <w:spacing w:val="-3"/>
          <w:sz w:val="20"/>
          <w:szCs w:val="20"/>
        </w:rPr>
        <w:t xml:space="preserve"> </w:t>
      </w:r>
      <w:r>
        <w:rPr>
          <w:rFonts w:cs="Arial" w:ascii="Arial" w:hAnsi="Arial"/>
          <w:sz w:val="20"/>
          <w:szCs w:val="20"/>
        </w:rPr>
        <w:t>procedimento.</w:t>
      </w:r>
    </w:p>
    <w:p>
      <w:pPr>
        <w:pStyle w:val="ListParagraph"/>
        <w:numPr>
          <w:ilvl w:val="0"/>
          <w:numId w:val="8"/>
        </w:numPr>
        <w:spacing w:lineRule="auto" w:line="360"/>
        <w:ind w:left="572" w:right="142" w:hanging="360"/>
        <w:rPr>
          <w:rFonts w:ascii="Arial" w:hAnsi="Arial" w:cs="Arial"/>
          <w:sz w:val="20"/>
          <w:szCs w:val="20"/>
        </w:rPr>
      </w:pPr>
      <w:r>
        <w:rPr>
          <w:rFonts w:cs="Arial" w:ascii="Arial" w:hAnsi="Arial"/>
          <w:sz w:val="20"/>
          <w:szCs w:val="20"/>
        </w:rPr>
        <w:t>Con riferimento alle procedure inserite nell’ Elenco, la S.U.A. e l’Ente aderente avviano l’attività di collaborazione volta a definire il contenuto degli atti di gara, nei tempi previsti e secondo le rispettive competenze, come definite dalla presente Convenzione.</w:t>
      </w:r>
    </w:p>
    <w:p>
      <w:pPr>
        <w:pStyle w:val="ListParagraph"/>
        <w:numPr>
          <w:ilvl w:val="0"/>
          <w:numId w:val="8"/>
        </w:numPr>
        <w:spacing w:lineRule="auto" w:line="360"/>
        <w:ind w:left="572" w:right="142" w:hanging="360"/>
        <w:rPr>
          <w:rFonts w:ascii="Arial" w:hAnsi="Arial" w:cs="Arial"/>
          <w:sz w:val="20"/>
          <w:szCs w:val="20"/>
        </w:rPr>
      </w:pPr>
      <w:r>
        <w:rPr>
          <w:rFonts w:cs="Arial" w:ascii="Arial" w:hAnsi="Arial"/>
          <w:sz w:val="20"/>
          <w:szCs w:val="20"/>
        </w:rPr>
        <w:t>Quando gli atti di gara sono stati definiti, con particolare riferimento alla decisione a contrarre, la S.U.A. li trasmette all’Ente aderente per la presa d’atto, secondo le procedure applicabili da parte di ciascun Ente.</w:t>
      </w:r>
    </w:p>
    <w:p>
      <w:pPr>
        <w:pStyle w:val="ListParagraph"/>
        <w:numPr>
          <w:ilvl w:val="0"/>
          <w:numId w:val="8"/>
        </w:numPr>
        <w:spacing w:lineRule="auto" w:line="360"/>
        <w:ind w:left="572" w:right="142" w:hanging="360"/>
        <w:rPr>
          <w:rFonts w:ascii="Arial" w:hAnsi="Arial" w:cs="Arial"/>
          <w:sz w:val="20"/>
          <w:szCs w:val="20"/>
        </w:rPr>
      </w:pPr>
      <w:r>
        <w:rPr>
          <w:rFonts w:cs="Arial" w:ascii="Arial" w:hAnsi="Arial"/>
          <w:sz w:val="20"/>
          <w:szCs w:val="20"/>
        </w:rPr>
        <w:t>L’Ente aderente trasmette quindi alla S.U.A. la “Richiesta di avvio della procedura/Conferma degli atti di gara”, corredata dalla Decisione a contrarre predisposta dalla S.U.A. debitamente sottoscritta.</w:t>
      </w:r>
    </w:p>
    <w:p>
      <w:pPr>
        <w:pStyle w:val="ListParagraph"/>
        <w:numPr>
          <w:ilvl w:val="0"/>
          <w:numId w:val="8"/>
        </w:numPr>
        <w:spacing w:lineRule="auto" w:line="360"/>
        <w:ind w:left="572" w:right="142" w:hanging="360"/>
        <w:rPr>
          <w:rFonts w:ascii="Arial" w:hAnsi="Arial" w:cs="Arial"/>
          <w:sz w:val="20"/>
          <w:szCs w:val="20"/>
        </w:rPr>
      </w:pPr>
      <w:r>
        <w:rPr>
          <w:rFonts w:cs="Arial" w:ascii="Arial" w:hAnsi="Arial"/>
          <w:sz w:val="20"/>
          <w:szCs w:val="20"/>
        </w:rPr>
        <w:t>La S.U.A. procede</w:t>
      </w:r>
      <w:r>
        <w:rPr>
          <w:rFonts w:cs="Arial" w:ascii="Arial" w:hAnsi="Arial"/>
          <w:spacing w:val="1"/>
          <w:sz w:val="20"/>
          <w:szCs w:val="20"/>
        </w:rPr>
        <w:t xml:space="preserve"> </w:t>
      </w:r>
      <w:r>
        <w:rPr>
          <w:rFonts w:cs="Arial" w:ascii="Arial" w:hAnsi="Arial"/>
          <w:sz w:val="20"/>
          <w:szCs w:val="20"/>
        </w:rPr>
        <w:t>quindi alla</w:t>
      </w:r>
      <w:r>
        <w:rPr>
          <w:rFonts w:cs="Arial" w:ascii="Arial" w:hAnsi="Arial"/>
          <w:spacing w:val="1"/>
          <w:sz w:val="20"/>
          <w:szCs w:val="20"/>
        </w:rPr>
        <w:t xml:space="preserve"> </w:t>
      </w:r>
      <w:r>
        <w:rPr>
          <w:rFonts w:cs="Arial" w:ascii="Arial" w:hAnsi="Arial"/>
          <w:sz w:val="20"/>
          <w:szCs w:val="20"/>
        </w:rPr>
        <w:t>relativa</w:t>
      </w:r>
      <w:r>
        <w:rPr>
          <w:rFonts w:cs="Arial" w:ascii="Arial" w:hAnsi="Arial"/>
          <w:spacing w:val="1"/>
          <w:sz w:val="20"/>
          <w:szCs w:val="20"/>
        </w:rPr>
        <w:t xml:space="preserve"> </w:t>
      </w:r>
      <w:r>
        <w:rPr>
          <w:rFonts w:cs="Arial" w:ascii="Arial" w:hAnsi="Arial"/>
          <w:sz w:val="20"/>
          <w:szCs w:val="20"/>
        </w:rPr>
        <w:t>pubblicazione,</w:t>
      </w:r>
      <w:r>
        <w:rPr>
          <w:rFonts w:cs="Arial" w:ascii="Arial" w:hAnsi="Arial"/>
          <w:spacing w:val="-1"/>
          <w:sz w:val="20"/>
          <w:szCs w:val="20"/>
        </w:rPr>
        <w:t xml:space="preserve"> </w:t>
      </w:r>
      <w:r>
        <w:rPr>
          <w:rFonts w:cs="Arial" w:ascii="Arial" w:hAnsi="Arial"/>
          <w:sz w:val="20"/>
          <w:szCs w:val="20"/>
        </w:rPr>
        <w:t>o</w:t>
      </w:r>
      <w:r>
        <w:rPr>
          <w:rFonts w:cs="Arial" w:ascii="Arial" w:hAnsi="Arial"/>
          <w:spacing w:val="-1"/>
          <w:sz w:val="20"/>
          <w:szCs w:val="20"/>
        </w:rPr>
        <w:t xml:space="preserve"> </w:t>
      </w:r>
      <w:r>
        <w:rPr>
          <w:rFonts w:cs="Arial" w:ascii="Arial" w:hAnsi="Arial"/>
          <w:sz w:val="20"/>
          <w:szCs w:val="20"/>
        </w:rPr>
        <w:t>alla</w:t>
      </w:r>
      <w:r>
        <w:rPr>
          <w:rFonts w:cs="Arial" w:ascii="Arial" w:hAnsi="Arial"/>
          <w:spacing w:val="-2"/>
          <w:sz w:val="20"/>
          <w:szCs w:val="20"/>
        </w:rPr>
        <w:t xml:space="preserve"> </w:t>
      </w:r>
      <w:r>
        <w:rPr>
          <w:rFonts w:cs="Arial" w:ascii="Arial" w:hAnsi="Arial"/>
          <w:sz w:val="20"/>
          <w:szCs w:val="20"/>
        </w:rPr>
        <w:t>trasmissione degli</w:t>
      </w:r>
      <w:r>
        <w:rPr>
          <w:rFonts w:cs="Arial" w:ascii="Arial" w:hAnsi="Arial"/>
          <w:spacing w:val="-1"/>
          <w:sz w:val="20"/>
          <w:szCs w:val="20"/>
        </w:rPr>
        <w:t xml:space="preserve"> </w:t>
      </w:r>
      <w:r>
        <w:rPr>
          <w:rFonts w:cs="Arial" w:ascii="Arial" w:hAnsi="Arial"/>
          <w:sz w:val="20"/>
          <w:szCs w:val="20"/>
        </w:rPr>
        <w:t>Inviti,</w:t>
      </w:r>
      <w:r>
        <w:rPr>
          <w:rFonts w:cs="Arial" w:ascii="Arial" w:hAnsi="Arial"/>
          <w:spacing w:val="-1"/>
          <w:sz w:val="20"/>
          <w:szCs w:val="20"/>
        </w:rPr>
        <w:t xml:space="preserve"> </w:t>
      </w:r>
      <w:r>
        <w:rPr>
          <w:rFonts w:cs="Arial" w:ascii="Arial" w:hAnsi="Arial"/>
          <w:sz w:val="20"/>
          <w:szCs w:val="20"/>
        </w:rPr>
        <w:t>a</w:t>
      </w:r>
      <w:r>
        <w:rPr>
          <w:rFonts w:cs="Arial" w:ascii="Arial" w:hAnsi="Arial"/>
          <w:spacing w:val="-2"/>
          <w:sz w:val="20"/>
          <w:szCs w:val="20"/>
        </w:rPr>
        <w:t xml:space="preserve"> </w:t>
      </w:r>
      <w:r>
        <w:rPr>
          <w:rFonts w:cs="Arial" w:ascii="Arial" w:hAnsi="Arial"/>
          <w:sz w:val="20"/>
          <w:szCs w:val="20"/>
        </w:rPr>
        <w:t>seconda</w:t>
      </w:r>
      <w:r>
        <w:rPr>
          <w:rFonts w:cs="Arial" w:ascii="Arial" w:hAnsi="Arial"/>
          <w:spacing w:val="1"/>
          <w:sz w:val="20"/>
          <w:szCs w:val="20"/>
        </w:rPr>
        <w:t xml:space="preserve"> </w:t>
      </w:r>
      <w:r>
        <w:rPr>
          <w:rFonts w:cs="Arial" w:ascii="Arial" w:hAnsi="Arial"/>
          <w:sz w:val="20"/>
          <w:szCs w:val="20"/>
        </w:rPr>
        <w:t>del</w:t>
      </w:r>
      <w:r>
        <w:rPr>
          <w:rFonts w:cs="Arial" w:ascii="Arial" w:hAnsi="Arial"/>
          <w:spacing w:val="-1"/>
          <w:sz w:val="20"/>
          <w:szCs w:val="20"/>
        </w:rPr>
        <w:t xml:space="preserve"> </w:t>
      </w:r>
      <w:r>
        <w:rPr>
          <w:rFonts w:cs="Arial" w:ascii="Arial" w:hAnsi="Arial"/>
          <w:sz w:val="20"/>
          <w:szCs w:val="20"/>
        </w:rPr>
        <w:t>tipo</w:t>
      </w:r>
      <w:r>
        <w:rPr>
          <w:rFonts w:cs="Arial" w:ascii="Arial" w:hAnsi="Arial"/>
          <w:spacing w:val="-1"/>
          <w:sz w:val="20"/>
          <w:szCs w:val="20"/>
        </w:rPr>
        <w:t xml:space="preserve"> </w:t>
      </w:r>
      <w:r>
        <w:rPr>
          <w:rFonts w:cs="Arial" w:ascii="Arial" w:hAnsi="Arial"/>
          <w:sz w:val="20"/>
          <w:szCs w:val="20"/>
        </w:rPr>
        <w:t>di</w:t>
      </w:r>
      <w:r>
        <w:rPr>
          <w:rFonts w:cs="Arial" w:ascii="Arial" w:hAnsi="Arial"/>
          <w:spacing w:val="-1"/>
          <w:sz w:val="20"/>
          <w:szCs w:val="20"/>
        </w:rPr>
        <w:t xml:space="preserve"> </w:t>
      </w:r>
      <w:r>
        <w:rPr>
          <w:rFonts w:cs="Arial" w:ascii="Arial" w:hAnsi="Arial"/>
          <w:sz w:val="20"/>
          <w:szCs w:val="20"/>
        </w:rPr>
        <w:t>procedura.</w:t>
      </w:r>
    </w:p>
    <w:p>
      <w:pPr>
        <w:pStyle w:val="ListParagraph"/>
        <w:numPr>
          <w:ilvl w:val="0"/>
          <w:numId w:val="8"/>
        </w:numPr>
        <w:spacing w:lineRule="auto" w:line="360"/>
        <w:ind w:left="572" w:right="142" w:hanging="360"/>
        <w:rPr>
          <w:rFonts w:ascii="Arial" w:hAnsi="Arial" w:cs="Arial"/>
          <w:sz w:val="20"/>
          <w:szCs w:val="20"/>
        </w:rPr>
      </w:pPr>
      <w:r>
        <w:rPr>
          <w:rFonts w:cs="Arial" w:ascii="Arial" w:hAnsi="Arial"/>
          <w:sz w:val="20"/>
          <w:szCs w:val="20"/>
        </w:rPr>
        <w:t>Lo svolgimento della procedura di affidamento è quindi gestito dalla S.U.A., con la collaborazione dell’Ente aderente, sulla base del riparto di competenze definito dai successivi artt. 8 e 9.</w:t>
      </w:r>
    </w:p>
    <w:p>
      <w:pPr>
        <w:pStyle w:val="Titolo1"/>
        <w:spacing w:lineRule="auto" w:line="360"/>
        <w:ind w:left="41" w:hanging="0"/>
        <w:rPr>
          <w:rFonts w:ascii="Arial" w:hAnsi="Arial" w:cs="Arial"/>
          <w:spacing w:val="-1"/>
          <w:sz w:val="20"/>
          <w:szCs w:val="20"/>
        </w:rPr>
      </w:pPr>
      <w:r>
        <w:rPr>
          <w:rFonts w:cs="Arial" w:ascii="Arial" w:hAnsi="Arial"/>
          <w:spacing w:val="-1"/>
          <w:sz w:val="20"/>
          <w:szCs w:val="20"/>
        </w:rPr>
      </w:r>
      <w:bookmarkStart w:id="19" w:name="_bookmark9"/>
      <w:bookmarkStart w:id="20" w:name="Art._8_Attività_di_competenza_della_Staz"/>
      <w:bookmarkStart w:id="21" w:name="_bookmark9"/>
      <w:bookmarkStart w:id="22" w:name="Art._8_Attività_di_competenza_della_Staz"/>
      <w:bookmarkEnd w:id="21"/>
      <w:bookmarkEnd w:id="22"/>
    </w:p>
    <w:p>
      <w:pPr>
        <w:pStyle w:val="Titolo1"/>
        <w:spacing w:lineRule="auto" w:line="360"/>
        <w:ind w:left="41" w:hanging="0"/>
        <w:rPr>
          <w:rFonts w:ascii="Arial" w:hAnsi="Arial" w:cs="Arial"/>
          <w:sz w:val="20"/>
          <w:szCs w:val="20"/>
        </w:rPr>
      </w:pPr>
      <w:r>
        <w:rPr>
          <w:rFonts w:cs="Arial" w:ascii="Arial" w:hAnsi="Arial"/>
          <w:spacing w:val="-1"/>
          <w:sz w:val="20"/>
          <w:szCs w:val="20"/>
        </w:rPr>
        <w:t>Art. 8</w:t>
      </w:r>
      <w:r>
        <w:rPr>
          <w:rFonts w:cs="Arial" w:ascii="Arial" w:hAnsi="Arial"/>
          <w:spacing w:val="-16"/>
          <w:sz w:val="20"/>
          <w:szCs w:val="20"/>
        </w:rPr>
        <w:t xml:space="preserve"> </w:t>
      </w:r>
      <w:r>
        <w:rPr>
          <w:rFonts w:cs="Arial" w:ascii="Arial" w:hAnsi="Arial"/>
          <w:spacing w:val="-1"/>
          <w:sz w:val="20"/>
          <w:szCs w:val="20"/>
        </w:rPr>
        <w:t>Attività di</w:t>
      </w:r>
      <w:r>
        <w:rPr>
          <w:rFonts w:cs="Arial" w:ascii="Arial" w:hAnsi="Arial"/>
          <w:sz w:val="20"/>
          <w:szCs w:val="20"/>
        </w:rPr>
        <w:t xml:space="preserve"> </w:t>
      </w:r>
      <w:r>
        <w:rPr>
          <w:rFonts w:cs="Arial" w:ascii="Arial" w:hAnsi="Arial"/>
          <w:spacing w:val="-1"/>
          <w:sz w:val="20"/>
          <w:szCs w:val="20"/>
        </w:rPr>
        <w:t xml:space="preserve">competenza </w:t>
      </w:r>
      <w:r>
        <w:rPr>
          <w:rFonts w:cs="Arial" w:ascii="Arial" w:hAnsi="Arial"/>
          <w:sz w:val="20"/>
          <w:szCs w:val="20"/>
        </w:rPr>
        <w:t>della</w:t>
      </w:r>
      <w:r>
        <w:rPr>
          <w:rFonts w:cs="Arial" w:ascii="Arial" w:hAnsi="Arial"/>
          <w:spacing w:val="-1"/>
          <w:sz w:val="20"/>
          <w:szCs w:val="20"/>
        </w:rPr>
        <w:t xml:space="preserve"> </w:t>
      </w:r>
      <w:r>
        <w:rPr>
          <w:rFonts w:cs="Arial" w:ascii="Arial" w:hAnsi="Arial"/>
          <w:sz w:val="20"/>
          <w:szCs w:val="20"/>
        </w:rPr>
        <w:t>Stazione Unica</w:t>
      </w:r>
      <w:r>
        <w:rPr>
          <w:rFonts w:cs="Arial" w:ascii="Arial" w:hAnsi="Arial"/>
          <w:spacing w:val="-17"/>
          <w:sz w:val="20"/>
          <w:szCs w:val="20"/>
        </w:rPr>
        <w:t xml:space="preserve"> </w:t>
      </w:r>
      <w:r>
        <w:rPr>
          <w:rFonts w:cs="Arial" w:ascii="Arial" w:hAnsi="Arial"/>
          <w:sz w:val="20"/>
          <w:szCs w:val="20"/>
        </w:rPr>
        <w:t>Appaltante</w:t>
      </w:r>
    </w:p>
    <w:p>
      <w:pPr>
        <w:pStyle w:val="ListParagraph"/>
        <w:spacing w:lineRule="auto" w:line="360"/>
        <w:ind w:left="572" w:right="142" w:hanging="0"/>
        <w:rPr>
          <w:rFonts w:ascii="Arial" w:hAnsi="Arial" w:cs="Arial"/>
          <w:sz w:val="20"/>
          <w:szCs w:val="20"/>
        </w:rPr>
      </w:pPr>
      <w:r>
        <w:rPr>
          <w:rFonts w:cs="Arial" w:ascii="Arial" w:hAnsi="Arial"/>
          <w:sz w:val="20"/>
          <w:szCs w:val="20"/>
        </w:rPr>
        <w:t>Sono di competenza della S.U.A. le seguenti funzioni ed attività:</w:t>
      </w:r>
    </w:p>
    <w:p>
      <w:pPr>
        <w:pStyle w:val="ListParagraph"/>
        <w:numPr>
          <w:ilvl w:val="0"/>
          <w:numId w:val="9"/>
        </w:numPr>
        <w:spacing w:lineRule="auto" w:line="360"/>
        <w:ind w:left="572" w:right="142" w:hanging="360"/>
        <w:rPr>
          <w:rFonts w:ascii="Arial" w:hAnsi="Arial" w:cs="Arial"/>
          <w:sz w:val="20"/>
          <w:szCs w:val="20"/>
        </w:rPr>
      </w:pPr>
      <w:r>
        <w:rPr>
          <w:rFonts w:cs="Arial" w:ascii="Arial" w:hAnsi="Arial"/>
          <w:sz w:val="20"/>
          <w:szCs w:val="20"/>
        </w:rPr>
        <w:t>la raccolta dei fabbisogni degli Enti aderenti e la programmazione delle procedure,</w:t>
      </w:r>
      <w:r>
        <w:rPr>
          <w:rFonts w:cs="Arial" w:ascii="Arial" w:hAnsi="Arial"/>
          <w:spacing w:val="1"/>
          <w:sz w:val="20"/>
          <w:szCs w:val="20"/>
        </w:rPr>
        <w:t xml:space="preserve"> </w:t>
      </w:r>
      <w:r>
        <w:rPr>
          <w:rFonts w:cs="Arial" w:ascii="Arial" w:hAnsi="Arial"/>
          <w:sz w:val="20"/>
          <w:szCs w:val="20"/>
        </w:rPr>
        <w:t>secondo quanto previsto</w:t>
      </w:r>
      <w:r>
        <w:rPr>
          <w:rFonts w:cs="Arial" w:ascii="Arial" w:hAnsi="Arial"/>
          <w:spacing w:val="1"/>
          <w:sz w:val="20"/>
          <w:szCs w:val="20"/>
        </w:rPr>
        <w:t xml:space="preserve"> </w:t>
      </w:r>
      <w:r>
        <w:rPr>
          <w:rFonts w:cs="Arial" w:ascii="Arial" w:hAnsi="Arial"/>
          <w:sz w:val="20"/>
          <w:szCs w:val="20"/>
        </w:rPr>
        <w:t>dall’art.</w:t>
      </w:r>
      <w:r>
        <w:rPr>
          <w:rFonts w:cs="Arial" w:ascii="Arial" w:hAnsi="Arial"/>
          <w:spacing w:val="-1"/>
          <w:sz w:val="20"/>
          <w:szCs w:val="20"/>
        </w:rPr>
        <w:t xml:space="preserve"> </w:t>
      </w:r>
      <w:r>
        <w:rPr>
          <w:rFonts w:cs="Arial" w:ascii="Arial" w:hAnsi="Arial"/>
          <w:sz w:val="20"/>
          <w:szCs w:val="20"/>
        </w:rPr>
        <w:t>6 della</w:t>
      </w:r>
      <w:r>
        <w:rPr>
          <w:rFonts w:cs="Arial" w:ascii="Arial" w:hAnsi="Arial"/>
          <w:spacing w:val="-1"/>
          <w:sz w:val="20"/>
          <w:szCs w:val="20"/>
        </w:rPr>
        <w:t xml:space="preserve"> </w:t>
      </w:r>
      <w:r>
        <w:rPr>
          <w:rFonts w:cs="Arial" w:ascii="Arial" w:hAnsi="Arial"/>
          <w:sz w:val="20"/>
          <w:szCs w:val="20"/>
        </w:rPr>
        <w:t>Convenzione;</w:t>
      </w:r>
    </w:p>
    <w:p>
      <w:pPr>
        <w:pStyle w:val="ListParagraph"/>
        <w:numPr>
          <w:ilvl w:val="0"/>
          <w:numId w:val="9"/>
        </w:numPr>
        <w:spacing w:lineRule="auto" w:line="360"/>
        <w:ind w:left="572" w:right="142" w:hanging="360"/>
        <w:rPr>
          <w:rFonts w:ascii="Arial" w:hAnsi="Arial" w:cs="Arial"/>
          <w:sz w:val="20"/>
          <w:szCs w:val="20"/>
        </w:rPr>
      </w:pPr>
      <w:r>
        <w:rPr>
          <w:rFonts w:cs="Arial" w:ascii="Arial" w:hAnsi="Arial"/>
          <w:sz w:val="20"/>
          <w:szCs w:val="20"/>
        </w:rPr>
        <w:t>la</w:t>
      </w:r>
      <w:r>
        <w:rPr>
          <w:rFonts w:cs="Arial" w:ascii="Arial" w:hAnsi="Arial"/>
          <w:spacing w:val="1"/>
          <w:sz w:val="20"/>
          <w:szCs w:val="20"/>
        </w:rPr>
        <w:t xml:space="preserve"> </w:t>
      </w:r>
      <w:r>
        <w:rPr>
          <w:rFonts w:cs="Arial" w:ascii="Arial" w:hAnsi="Arial"/>
          <w:sz w:val="20"/>
          <w:szCs w:val="20"/>
        </w:rPr>
        <w:t>proposta,</w:t>
      </w:r>
      <w:r>
        <w:rPr>
          <w:rFonts w:cs="Arial" w:ascii="Arial" w:hAnsi="Arial"/>
          <w:spacing w:val="1"/>
          <w:sz w:val="20"/>
          <w:szCs w:val="20"/>
        </w:rPr>
        <w:t xml:space="preserve"> </w:t>
      </w:r>
      <w:r>
        <w:rPr>
          <w:rFonts w:cs="Arial" w:ascii="Arial" w:hAnsi="Arial"/>
          <w:sz w:val="20"/>
          <w:szCs w:val="20"/>
        </w:rPr>
        <w:t>in</w:t>
      </w:r>
      <w:r>
        <w:rPr>
          <w:rFonts w:cs="Arial" w:ascii="Arial" w:hAnsi="Arial"/>
          <w:spacing w:val="1"/>
          <w:sz w:val="20"/>
          <w:szCs w:val="20"/>
        </w:rPr>
        <w:t xml:space="preserve"> </w:t>
      </w:r>
      <w:r>
        <w:rPr>
          <w:rFonts w:cs="Arial" w:ascii="Arial" w:hAnsi="Arial"/>
          <w:sz w:val="20"/>
          <w:szCs w:val="20"/>
        </w:rPr>
        <w:t>ossequio</w:t>
      </w:r>
      <w:r>
        <w:rPr>
          <w:rFonts w:cs="Arial" w:ascii="Arial" w:hAnsi="Arial"/>
          <w:spacing w:val="1"/>
          <w:sz w:val="20"/>
          <w:szCs w:val="20"/>
        </w:rPr>
        <w:t xml:space="preserve"> </w:t>
      </w:r>
      <w:r>
        <w:rPr>
          <w:rFonts w:cs="Arial" w:ascii="Arial" w:hAnsi="Arial"/>
          <w:sz w:val="20"/>
          <w:szCs w:val="20"/>
        </w:rPr>
        <w:t>al</w:t>
      </w:r>
      <w:r>
        <w:rPr>
          <w:rFonts w:cs="Arial" w:ascii="Arial" w:hAnsi="Arial"/>
          <w:spacing w:val="1"/>
          <w:sz w:val="20"/>
          <w:szCs w:val="20"/>
        </w:rPr>
        <w:t xml:space="preserve"> </w:t>
      </w:r>
      <w:r>
        <w:rPr>
          <w:rFonts w:cs="Arial" w:ascii="Arial" w:hAnsi="Arial"/>
          <w:sz w:val="20"/>
          <w:szCs w:val="20"/>
        </w:rPr>
        <w:t>principio</w:t>
      </w:r>
      <w:r>
        <w:rPr>
          <w:rFonts w:cs="Arial" w:ascii="Arial" w:hAnsi="Arial"/>
          <w:spacing w:val="1"/>
          <w:sz w:val="20"/>
          <w:szCs w:val="20"/>
        </w:rPr>
        <w:t xml:space="preserve"> </w:t>
      </w:r>
      <w:r>
        <w:rPr>
          <w:rFonts w:cs="Arial" w:ascii="Arial" w:hAnsi="Arial"/>
          <w:sz w:val="20"/>
          <w:szCs w:val="20"/>
        </w:rPr>
        <w:t>di</w:t>
      </w:r>
      <w:r>
        <w:rPr>
          <w:rFonts w:cs="Arial" w:ascii="Arial" w:hAnsi="Arial"/>
          <w:spacing w:val="1"/>
          <w:sz w:val="20"/>
          <w:szCs w:val="20"/>
        </w:rPr>
        <w:t xml:space="preserve"> </w:t>
      </w:r>
      <w:r>
        <w:rPr>
          <w:rFonts w:cs="Arial" w:ascii="Arial" w:hAnsi="Arial"/>
          <w:sz w:val="20"/>
          <w:szCs w:val="20"/>
        </w:rPr>
        <w:t>economicità</w:t>
      </w:r>
      <w:r>
        <w:rPr>
          <w:rFonts w:cs="Arial" w:ascii="Arial" w:hAnsi="Arial"/>
          <w:spacing w:val="1"/>
          <w:sz w:val="20"/>
          <w:szCs w:val="20"/>
        </w:rPr>
        <w:t xml:space="preserve"> </w:t>
      </w:r>
      <w:r>
        <w:rPr>
          <w:rFonts w:cs="Arial" w:ascii="Arial" w:hAnsi="Arial"/>
          <w:sz w:val="20"/>
          <w:szCs w:val="20"/>
        </w:rPr>
        <w:t>del</w:t>
      </w:r>
      <w:r>
        <w:rPr>
          <w:rFonts w:cs="Arial" w:ascii="Arial" w:hAnsi="Arial"/>
          <w:spacing w:val="1"/>
          <w:sz w:val="20"/>
          <w:szCs w:val="20"/>
        </w:rPr>
        <w:t xml:space="preserve"> </w:t>
      </w:r>
      <w:r>
        <w:rPr>
          <w:rFonts w:cs="Arial" w:ascii="Arial" w:hAnsi="Arial"/>
          <w:sz w:val="20"/>
          <w:szCs w:val="20"/>
        </w:rPr>
        <w:t>procedimento</w:t>
      </w:r>
      <w:r>
        <w:rPr>
          <w:rFonts w:cs="Arial" w:ascii="Arial" w:hAnsi="Arial"/>
          <w:spacing w:val="1"/>
          <w:sz w:val="20"/>
          <w:szCs w:val="20"/>
        </w:rPr>
        <w:t xml:space="preserve"> </w:t>
      </w:r>
      <w:r>
        <w:rPr>
          <w:rFonts w:cs="Arial" w:ascii="Arial" w:hAnsi="Arial"/>
          <w:sz w:val="20"/>
          <w:szCs w:val="20"/>
        </w:rPr>
        <w:t>amministrativo, di procedure aggregate, nel caso in cui più Enti aderenti abbiano</w:t>
      </w:r>
      <w:r>
        <w:rPr>
          <w:rFonts w:cs="Arial" w:ascii="Arial" w:hAnsi="Arial"/>
          <w:spacing w:val="1"/>
          <w:sz w:val="20"/>
          <w:szCs w:val="20"/>
        </w:rPr>
        <w:t xml:space="preserve"> </w:t>
      </w:r>
      <w:r>
        <w:rPr>
          <w:rFonts w:cs="Arial" w:ascii="Arial" w:hAnsi="Arial"/>
          <w:sz w:val="20"/>
          <w:szCs w:val="20"/>
        </w:rPr>
        <w:t>manifestato</w:t>
      </w:r>
      <w:r>
        <w:rPr>
          <w:rFonts w:cs="Arial" w:ascii="Arial" w:hAnsi="Arial"/>
          <w:spacing w:val="-2"/>
          <w:sz w:val="20"/>
          <w:szCs w:val="20"/>
        </w:rPr>
        <w:t xml:space="preserve"> </w:t>
      </w:r>
      <w:r>
        <w:rPr>
          <w:rFonts w:cs="Arial" w:ascii="Arial" w:hAnsi="Arial"/>
          <w:sz w:val="20"/>
          <w:szCs w:val="20"/>
        </w:rPr>
        <w:t>fabbisogni</w:t>
      </w:r>
      <w:r>
        <w:rPr>
          <w:rFonts w:cs="Arial" w:ascii="Arial" w:hAnsi="Arial"/>
          <w:spacing w:val="-1"/>
          <w:sz w:val="20"/>
          <w:szCs w:val="20"/>
        </w:rPr>
        <w:t xml:space="preserve"> </w:t>
      </w:r>
      <w:r>
        <w:rPr>
          <w:rFonts w:cs="Arial" w:ascii="Arial" w:hAnsi="Arial"/>
          <w:sz w:val="20"/>
          <w:szCs w:val="20"/>
        </w:rPr>
        <w:t>omogenei,</w:t>
      </w:r>
      <w:r>
        <w:rPr>
          <w:rFonts w:cs="Arial" w:ascii="Arial" w:hAnsi="Arial"/>
          <w:spacing w:val="-1"/>
          <w:sz w:val="20"/>
          <w:szCs w:val="20"/>
        </w:rPr>
        <w:t xml:space="preserve"> </w:t>
      </w:r>
      <w:r>
        <w:rPr>
          <w:rFonts w:cs="Arial" w:ascii="Arial" w:hAnsi="Arial"/>
          <w:sz w:val="20"/>
          <w:szCs w:val="20"/>
        </w:rPr>
        <w:t>sempre secondo</w:t>
      </w:r>
      <w:r>
        <w:rPr>
          <w:rFonts w:cs="Arial" w:ascii="Arial" w:hAnsi="Arial"/>
          <w:spacing w:val="-2"/>
          <w:sz w:val="20"/>
          <w:szCs w:val="20"/>
        </w:rPr>
        <w:t xml:space="preserve"> </w:t>
      </w:r>
      <w:r>
        <w:rPr>
          <w:rFonts w:cs="Arial" w:ascii="Arial" w:hAnsi="Arial"/>
          <w:sz w:val="20"/>
          <w:szCs w:val="20"/>
        </w:rPr>
        <w:t>quanto previsto nell’art.</w:t>
      </w:r>
      <w:r>
        <w:rPr>
          <w:rFonts w:cs="Arial" w:ascii="Arial" w:hAnsi="Arial"/>
          <w:spacing w:val="-1"/>
          <w:sz w:val="20"/>
          <w:szCs w:val="20"/>
        </w:rPr>
        <w:t xml:space="preserve"> </w:t>
      </w:r>
      <w:r>
        <w:rPr>
          <w:rFonts w:cs="Arial" w:ascii="Arial" w:hAnsi="Arial"/>
          <w:sz w:val="20"/>
          <w:szCs w:val="20"/>
        </w:rPr>
        <w:t>6;</w:t>
      </w:r>
    </w:p>
    <w:p>
      <w:pPr>
        <w:pStyle w:val="ListParagraph"/>
        <w:numPr>
          <w:ilvl w:val="0"/>
          <w:numId w:val="9"/>
        </w:numPr>
        <w:spacing w:lineRule="auto" w:line="360"/>
        <w:ind w:left="572" w:right="142" w:hanging="360"/>
        <w:rPr>
          <w:rFonts w:ascii="Arial" w:hAnsi="Arial" w:cs="Arial"/>
          <w:sz w:val="20"/>
          <w:szCs w:val="20"/>
        </w:rPr>
      </w:pPr>
      <w:r>
        <w:rPr>
          <w:rFonts w:cs="Arial" w:ascii="Arial" w:hAnsi="Arial"/>
          <w:sz w:val="20"/>
          <w:szCs w:val="20"/>
        </w:rPr>
        <w:t>la</w:t>
      </w:r>
      <w:r>
        <w:rPr>
          <w:rFonts w:cs="Arial" w:ascii="Arial" w:hAnsi="Arial"/>
          <w:spacing w:val="1"/>
          <w:sz w:val="20"/>
          <w:szCs w:val="20"/>
        </w:rPr>
        <w:t xml:space="preserve"> </w:t>
      </w:r>
      <w:r>
        <w:rPr>
          <w:rFonts w:cs="Arial" w:ascii="Arial" w:hAnsi="Arial"/>
          <w:sz w:val="20"/>
          <w:szCs w:val="20"/>
        </w:rPr>
        <w:t>nomina</w:t>
      </w:r>
      <w:r>
        <w:rPr>
          <w:rFonts w:cs="Arial" w:ascii="Arial" w:hAnsi="Arial"/>
          <w:spacing w:val="1"/>
          <w:sz w:val="20"/>
          <w:szCs w:val="20"/>
        </w:rPr>
        <w:t xml:space="preserve"> </w:t>
      </w:r>
      <w:r>
        <w:rPr>
          <w:rFonts w:cs="Arial" w:ascii="Arial" w:hAnsi="Arial"/>
          <w:sz w:val="20"/>
          <w:szCs w:val="20"/>
        </w:rPr>
        <w:t>del</w:t>
      </w:r>
      <w:r>
        <w:rPr>
          <w:rFonts w:cs="Arial" w:ascii="Arial" w:hAnsi="Arial"/>
          <w:spacing w:val="1"/>
          <w:sz w:val="20"/>
          <w:szCs w:val="20"/>
        </w:rPr>
        <w:t xml:space="preserve"> </w:t>
      </w:r>
      <w:r>
        <w:rPr>
          <w:rFonts w:cs="Arial" w:ascii="Arial" w:hAnsi="Arial"/>
          <w:sz w:val="20"/>
          <w:szCs w:val="20"/>
        </w:rPr>
        <w:t>Responsabile Unico del Progetto (RUP), che svolge le funzioni di cui all’articolo 15 del D.Lgs. 36/2023;</w:t>
      </w:r>
    </w:p>
    <w:p>
      <w:pPr>
        <w:pStyle w:val="ListParagraph"/>
        <w:numPr>
          <w:ilvl w:val="0"/>
          <w:numId w:val="9"/>
        </w:numPr>
        <w:spacing w:lineRule="auto" w:line="360"/>
        <w:ind w:left="572" w:right="142" w:hanging="360"/>
        <w:rPr>
          <w:rFonts w:ascii="Arial" w:hAnsi="Arial" w:cs="Arial"/>
          <w:sz w:val="20"/>
          <w:szCs w:val="20"/>
        </w:rPr>
      </w:pPr>
      <w:r>
        <w:rPr>
          <w:rFonts w:cs="Arial" w:ascii="Arial" w:hAnsi="Arial"/>
          <w:sz w:val="20"/>
          <w:szCs w:val="20"/>
        </w:rPr>
        <w:t>l’acquisizione</w:t>
      </w:r>
      <w:r>
        <w:rPr>
          <w:rFonts w:cs="Arial" w:ascii="Arial" w:hAnsi="Arial"/>
          <w:spacing w:val="-2"/>
          <w:sz w:val="20"/>
          <w:szCs w:val="20"/>
        </w:rPr>
        <w:t xml:space="preserve"> </w:t>
      </w:r>
      <w:r>
        <w:rPr>
          <w:rFonts w:cs="Arial" w:ascii="Arial" w:hAnsi="Arial"/>
          <w:sz w:val="20"/>
          <w:szCs w:val="20"/>
        </w:rPr>
        <w:t>del</w:t>
      </w:r>
      <w:r>
        <w:rPr>
          <w:rFonts w:cs="Arial" w:ascii="Arial" w:hAnsi="Arial"/>
          <w:spacing w:val="-2"/>
          <w:sz w:val="20"/>
          <w:szCs w:val="20"/>
        </w:rPr>
        <w:t xml:space="preserve"> </w:t>
      </w:r>
      <w:r>
        <w:rPr>
          <w:rFonts w:cs="Arial" w:ascii="Arial" w:hAnsi="Arial"/>
          <w:sz w:val="20"/>
          <w:szCs w:val="20"/>
        </w:rPr>
        <w:t>CIG</w:t>
      </w:r>
      <w:r>
        <w:rPr>
          <w:rFonts w:cs="Arial" w:ascii="Arial" w:hAnsi="Arial"/>
          <w:spacing w:val="-3"/>
          <w:sz w:val="20"/>
          <w:szCs w:val="20"/>
        </w:rPr>
        <w:t xml:space="preserve"> </w:t>
      </w:r>
      <w:r>
        <w:rPr>
          <w:rFonts w:cs="Arial" w:ascii="Arial" w:hAnsi="Arial"/>
          <w:sz w:val="20"/>
          <w:szCs w:val="20"/>
        </w:rPr>
        <w:t>su</w:t>
      </w:r>
      <w:r>
        <w:rPr>
          <w:rFonts w:cs="Arial" w:ascii="Arial" w:hAnsi="Arial"/>
          <w:spacing w:val="-2"/>
          <w:sz w:val="20"/>
          <w:szCs w:val="20"/>
        </w:rPr>
        <w:t xml:space="preserve"> </w:t>
      </w:r>
      <w:r>
        <w:rPr>
          <w:rFonts w:cs="Arial" w:ascii="Arial" w:hAnsi="Arial"/>
          <w:sz w:val="20"/>
          <w:szCs w:val="20"/>
        </w:rPr>
        <w:t>delega;</w:t>
      </w:r>
    </w:p>
    <w:p>
      <w:pPr>
        <w:pStyle w:val="ListParagraph"/>
        <w:numPr>
          <w:ilvl w:val="0"/>
          <w:numId w:val="9"/>
        </w:numPr>
        <w:spacing w:lineRule="auto" w:line="360"/>
        <w:ind w:left="572" w:right="142" w:hanging="360"/>
        <w:rPr>
          <w:rFonts w:ascii="Arial" w:hAnsi="Arial" w:cs="Arial"/>
          <w:sz w:val="20"/>
          <w:szCs w:val="20"/>
        </w:rPr>
      </w:pPr>
      <w:r>
        <w:rPr>
          <w:rFonts w:cs="Arial" w:ascii="Arial" w:hAnsi="Arial"/>
          <w:sz w:val="20"/>
          <w:szCs w:val="20"/>
        </w:rPr>
        <w:t>l’utilizzo di una piattaforma informatica per l’interscambio delle informazioni e dei documenti relativi alle procedure di gara gestite;</w:t>
      </w:r>
    </w:p>
    <w:p>
      <w:pPr>
        <w:pStyle w:val="ListParagraph"/>
        <w:numPr>
          <w:ilvl w:val="0"/>
          <w:numId w:val="9"/>
        </w:numPr>
        <w:spacing w:lineRule="auto" w:line="360"/>
        <w:ind w:left="572" w:right="142" w:hanging="360"/>
        <w:rPr>
          <w:rFonts w:ascii="Arial" w:hAnsi="Arial" w:cs="Arial"/>
          <w:sz w:val="20"/>
          <w:szCs w:val="20"/>
        </w:rPr>
      </w:pPr>
      <w:r>
        <w:rPr>
          <w:rFonts w:cs="Arial" w:ascii="Arial" w:hAnsi="Arial"/>
          <w:sz w:val="20"/>
          <w:szCs w:val="20"/>
        </w:rPr>
        <w:t>la predisposizione e la verifica della completezza, della chiarezza, coerenza e correttezza della documentazione di gara, definita in collaborazione con gli Enti aderenti, anche sulla base delle informazioni, dei dati e dei documenti da questi forniti e trasmessi, nonché della conformità degli stessi ai bandi-tipo di ANAC;</w:t>
      </w:r>
    </w:p>
    <w:p>
      <w:pPr>
        <w:pStyle w:val="ListParagraph"/>
        <w:numPr>
          <w:ilvl w:val="0"/>
          <w:numId w:val="9"/>
        </w:numPr>
        <w:spacing w:lineRule="auto" w:line="360"/>
        <w:ind w:left="572" w:right="142" w:hanging="360"/>
        <w:rPr>
          <w:rFonts w:ascii="Arial" w:hAnsi="Arial" w:cs="Arial"/>
          <w:sz w:val="20"/>
          <w:szCs w:val="20"/>
        </w:rPr>
      </w:pPr>
      <w:r>
        <w:rPr>
          <w:rFonts w:cs="Arial" w:ascii="Arial" w:hAnsi="Arial"/>
          <w:sz w:val="20"/>
          <w:szCs w:val="20"/>
        </w:rPr>
        <w:t>in particolare, la progettazione e la verifica di proporzionalità e attinenza dei requisiti di partecipazione degli operatori e, in caso di ricorso al criterio dell'offerta economicamente più vantaggiosa, dei criteri di valutazione delle offerte, delle loro specificazioni come sub-criteri, dei relativi pesi e sub-pesi ponderali, nonché della metodologia di attribuzione dei punteggi;</w:t>
      </w:r>
    </w:p>
    <w:p>
      <w:pPr>
        <w:pStyle w:val="ListParagraph"/>
        <w:numPr>
          <w:ilvl w:val="0"/>
          <w:numId w:val="9"/>
        </w:numPr>
        <w:spacing w:lineRule="auto" w:line="360"/>
        <w:ind w:left="572" w:right="142" w:hanging="360"/>
        <w:rPr>
          <w:rFonts w:ascii="Arial" w:hAnsi="Arial" w:cs="Arial"/>
          <w:sz w:val="20"/>
          <w:szCs w:val="20"/>
        </w:rPr>
      </w:pPr>
      <w:r>
        <w:rPr>
          <w:rFonts w:cs="Arial" w:ascii="Arial" w:hAnsi="Arial"/>
          <w:sz w:val="20"/>
          <w:szCs w:val="20"/>
        </w:rPr>
        <w:t>la sottoscrizione degli atti di gara, in particolare il Bando, il Disciplinare e, nelle procedure ristrette o negoziate, le Lettere di invito;</w:t>
      </w:r>
    </w:p>
    <w:p>
      <w:pPr>
        <w:pStyle w:val="ListParagraph"/>
        <w:numPr>
          <w:ilvl w:val="0"/>
          <w:numId w:val="9"/>
        </w:numPr>
        <w:spacing w:lineRule="auto" w:line="360"/>
        <w:ind w:left="572" w:right="142" w:hanging="360"/>
        <w:rPr>
          <w:rFonts w:ascii="Arial" w:hAnsi="Arial" w:cs="Arial"/>
          <w:sz w:val="20"/>
          <w:szCs w:val="20"/>
        </w:rPr>
      </w:pPr>
      <w:r>
        <w:rPr>
          <w:rFonts w:cs="Arial" w:ascii="Arial" w:hAnsi="Arial"/>
          <w:sz w:val="20"/>
          <w:szCs w:val="20"/>
        </w:rPr>
        <w:t>la pubblicazione del Bando o dell’Avviso, ovvero, nelle procedure ristrette e negoziate, la trasmissione degli Inviti, e le pubblicazioni sul proprio sito Amministrazione Trasparente, previste d la   nomina   del   Seggio   di   Gara   (nelle   procedure   con   l’utilizzo   del  criterio    del    prezzo    più     basso)     o     della     Commissione     Giudicatrice (nelle procedure con l’utilizzo del criterio dell’offerta economicamente più vantaggiosa), in linea con quanto previsto dalla normativa e dai regolamenti eventualmente applicabili in materia di contratti pubblici e di prevenzione della corruzione;</w:t>
      </w:r>
    </w:p>
    <w:p>
      <w:pPr>
        <w:pStyle w:val="ListParagraph"/>
        <w:numPr>
          <w:ilvl w:val="0"/>
          <w:numId w:val="9"/>
        </w:numPr>
        <w:spacing w:lineRule="auto" w:line="360"/>
        <w:ind w:left="572" w:right="142" w:hanging="360"/>
        <w:rPr>
          <w:rFonts w:ascii="Arial" w:hAnsi="Arial" w:cs="Arial"/>
          <w:sz w:val="20"/>
          <w:szCs w:val="20"/>
        </w:rPr>
      </w:pPr>
      <w:r>
        <w:rPr>
          <w:rFonts w:cs="Arial" w:ascii="Arial" w:hAnsi="Arial"/>
          <w:sz w:val="20"/>
          <w:szCs w:val="20"/>
        </w:rPr>
        <w:t>la realizzazione degli adempimenti relativi   allo   svolgimento   della procedura di gara in tutte le fasi, prodromiche all’aggiudicazione, quali in particolare:</w:t>
      </w:r>
    </w:p>
    <w:p>
      <w:pPr>
        <w:pStyle w:val="ListParagraph"/>
        <w:numPr>
          <w:ilvl w:val="0"/>
          <w:numId w:val="7"/>
        </w:numPr>
        <w:tabs>
          <w:tab w:val="clear" w:pos="720"/>
          <w:tab w:val="left" w:pos="326" w:leader="none"/>
        </w:tabs>
        <w:spacing w:lineRule="auto" w:line="360"/>
        <w:rPr>
          <w:rFonts w:ascii="Arial" w:hAnsi="Arial" w:cs="Arial"/>
          <w:sz w:val="20"/>
          <w:szCs w:val="20"/>
        </w:rPr>
      </w:pPr>
      <w:r>
        <w:rPr>
          <w:rFonts w:cs="Arial" w:ascii="Arial" w:hAnsi="Arial"/>
          <w:sz w:val="20"/>
          <w:szCs w:val="20"/>
        </w:rPr>
        <w:t>lo svolgimento della procedura di gara (ad esempio: richiesta di verifica delle offerte anormalmente basse e costi della manodopera, verbalizzazione delle sedute di gara, avvisi e convocazioni sedute pubbliche ecc.);</w:t>
      </w:r>
    </w:p>
    <w:p>
      <w:pPr>
        <w:pStyle w:val="ListParagraph"/>
        <w:numPr>
          <w:ilvl w:val="0"/>
          <w:numId w:val="7"/>
        </w:numPr>
        <w:tabs>
          <w:tab w:val="clear" w:pos="720"/>
          <w:tab w:val="left" w:pos="326" w:leader="none"/>
        </w:tabs>
        <w:spacing w:lineRule="auto" w:line="360"/>
        <w:rPr>
          <w:rFonts w:ascii="Arial" w:hAnsi="Arial" w:cs="Arial"/>
          <w:sz w:val="20"/>
          <w:szCs w:val="20"/>
        </w:rPr>
      </w:pPr>
      <w:r>
        <w:rPr>
          <w:rFonts w:cs="Arial" w:ascii="Arial" w:hAnsi="Arial"/>
          <w:sz w:val="20"/>
          <w:szCs w:val="20"/>
        </w:rPr>
        <w:t>la verifica del possesso dei requisiti dichiarati in sede di gara con accesso diretto alle amministrazioni ed enti certificanti;</w:t>
      </w:r>
    </w:p>
    <w:p>
      <w:pPr>
        <w:pStyle w:val="ListParagraph"/>
        <w:numPr>
          <w:ilvl w:val="0"/>
          <w:numId w:val="7"/>
        </w:numPr>
        <w:tabs>
          <w:tab w:val="clear" w:pos="720"/>
          <w:tab w:val="left" w:pos="326" w:leader="none"/>
        </w:tabs>
        <w:spacing w:lineRule="auto" w:line="360"/>
        <w:rPr>
          <w:rFonts w:ascii="Arial" w:hAnsi="Arial" w:cs="Arial"/>
          <w:sz w:val="20"/>
          <w:szCs w:val="20"/>
        </w:rPr>
      </w:pPr>
      <w:r>
        <w:rPr>
          <w:rFonts w:cs="Arial" w:ascii="Arial" w:hAnsi="Arial"/>
          <w:sz w:val="20"/>
          <w:szCs w:val="20"/>
        </w:rPr>
        <w:t>la formulazione della proposta di aggiudicazione;</w:t>
      </w:r>
    </w:p>
    <w:p>
      <w:pPr>
        <w:pStyle w:val="ListParagraph"/>
        <w:numPr>
          <w:ilvl w:val="0"/>
          <w:numId w:val="7"/>
        </w:numPr>
        <w:tabs>
          <w:tab w:val="clear" w:pos="720"/>
          <w:tab w:val="left" w:pos="326" w:leader="none"/>
        </w:tabs>
        <w:spacing w:lineRule="auto" w:line="360"/>
        <w:rPr>
          <w:rFonts w:ascii="Arial" w:hAnsi="Arial" w:cs="Arial"/>
          <w:sz w:val="20"/>
          <w:szCs w:val="20"/>
        </w:rPr>
      </w:pPr>
      <w:r>
        <w:rPr>
          <w:rFonts w:cs="Arial" w:ascii="Arial" w:hAnsi="Arial"/>
          <w:sz w:val="20"/>
          <w:szCs w:val="20"/>
        </w:rPr>
        <w:t>l’adozione dell’atto di aggiudicazione;</w:t>
      </w:r>
    </w:p>
    <w:p>
      <w:pPr>
        <w:pStyle w:val="ListParagraph"/>
        <w:numPr>
          <w:ilvl w:val="0"/>
          <w:numId w:val="7"/>
        </w:numPr>
        <w:tabs>
          <w:tab w:val="clear" w:pos="720"/>
          <w:tab w:val="left" w:pos="326" w:leader="none"/>
        </w:tabs>
        <w:spacing w:lineRule="auto" w:line="360"/>
        <w:rPr>
          <w:rFonts w:ascii="Arial" w:hAnsi="Arial" w:cs="Arial"/>
          <w:sz w:val="20"/>
          <w:szCs w:val="20"/>
        </w:rPr>
      </w:pPr>
      <w:r>
        <w:rPr>
          <w:rFonts w:cs="Arial" w:ascii="Arial" w:hAnsi="Arial"/>
          <w:sz w:val="20"/>
          <w:szCs w:val="20"/>
        </w:rPr>
        <w:t>lo svolgimento delle comunicazioni e pubblicazioni conseguenti all’aggiudicazione;</w:t>
      </w:r>
    </w:p>
    <w:p>
      <w:pPr>
        <w:pStyle w:val="ListParagraph"/>
        <w:numPr>
          <w:ilvl w:val="0"/>
          <w:numId w:val="9"/>
        </w:numPr>
        <w:spacing w:lineRule="auto" w:line="360"/>
        <w:ind w:left="572" w:right="142" w:hanging="360"/>
        <w:rPr>
          <w:rFonts w:ascii="Arial" w:hAnsi="Arial" w:cs="Arial"/>
          <w:sz w:val="20"/>
          <w:szCs w:val="20"/>
        </w:rPr>
      </w:pPr>
      <w:r>
        <w:rPr>
          <w:rFonts w:cs="Arial" w:ascii="Arial" w:hAnsi="Arial"/>
          <w:sz w:val="20"/>
          <w:szCs w:val="20"/>
        </w:rPr>
        <w:t>fermo restando quanto indicato all'art.1, commi 2 e 3, il supporto all’Ente Aderente per l'affidamento delle procedure da aggiudicare attraverso il sistema del mercato elettronico o altro soggetto aggregatore di riferimento., svolgendo le attività delle lettere e), f), g) e solo parzialmente quelle della lettera m) e affiancando il RUP dell’Ente aderente per le operazioni da compiersi sul mercato elettronico o altro soggetto aggregatore di riferimento;</w:t>
      </w:r>
    </w:p>
    <w:p>
      <w:pPr>
        <w:pStyle w:val="ListParagraph"/>
        <w:numPr>
          <w:ilvl w:val="0"/>
          <w:numId w:val="9"/>
        </w:numPr>
        <w:spacing w:lineRule="auto" w:line="360"/>
        <w:ind w:left="572" w:right="142" w:hanging="360"/>
        <w:rPr>
          <w:rFonts w:ascii="Arial" w:hAnsi="Arial" w:cs="Arial"/>
          <w:sz w:val="20"/>
          <w:szCs w:val="20"/>
        </w:rPr>
      </w:pPr>
      <w:r>
        <w:rPr>
          <w:rFonts w:cs="Arial" w:ascii="Arial" w:hAnsi="Arial"/>
          <w:sz w:val="20"/>
          <w:szCs w:val="20"/>
        </w:rPr>
        <w:t>possibile supporto nella fase di esecuzione, in particolare con riferimento all’autorizzazione di subappalti e all’approvazione di varianti contrattuali;</w:t>
      </w:r>
    </w:p>
    <w:p>
      <w:pPr>
        <w:pStyle w:val="ListParagraph"/>
        <w:numPr>
          <w:ilvl w:val="0"/>
          <w:numId w:val="9"/>
        </w:numPr>
        <w:spacing w:lineRule="auto" w:line="360"/>
        <w:ind w:left="572" w:right="142" w:hanging="360"/>
        <w:rPr>
          <w:rFonts w:ascii="Arial" w:hAnsi="Arial" w:cs="Arial"/>
          <w:sz w:val="20"/>
          <w:szCs w:val="20"/>
        </w:rPr>
      </w:pPr>
      <w:r>
        <w:rPr>
          <w:rFonts w:cs="Arial" w:ascii="Arial" w:hAnsi="Arial"/>
          <w:sz w:val="20"/>
          <w:szCs w:val="20"/>
        </w:rPr>
        <w:t>supporto nella fase di esecuzione dei contratti di partenariato pubblico-privato, da definirsi nel maggior dettaglio con l’ente sottoscrittore al momento della stipula della presente convenzione;</w:t>
      </w:r>
    </w:p>
    <w:p>
      <w:pPr>
        <w:pStyle w:val="ListParagraph"/>
        <w:numPr>
          <w:ilvl w:val="0"/>
          <w:numId w:val="9"/>
        </w:numPr>
        <w:spacing w:lineRule="auto" w:line="360"/>
        <w:ind w:left="572" w:right="142" w:hanging="360"/>
        <w:rPr>
          <w:rFonts w:ascii="Arial" w:hAnsi="Arial" w:cs="Arial"/>
          <w:sz w:val="20"/>
          <w:szCs w:val="20"/>
        </w:rPr>
      </w:pPr>
      <w:r>
        <w:rPr>
          <w:rFonts w:cs="Arial" w:ascii="Arial" w:hAnsi="Arial"/>
          <w:sz w:val="20"/>
          <w:szCs w:val="20"/>
        </w:rPr>
        <w:t>in caso di contenziosi instaurati da terzi nell’ambito delle procedure di gara gestite dalla S.U.A. in esecuzione della presente Convenzione, e in particolare in caso di impugnazione di atti della procedura da parte di terzi, l’Ente Aderente collabora con la S.U.A. mettendo tempestivamente a disposizione tutti i documenti relativi alla procedura oggetto di contenzioso e fornendo gli elementi tecnico giuridici per valutare la necessità o meno di costituirsi in giudizio, nonché per facilitare l’esercizio della difesa e l’eventuale difesa congiunta, come meglio precisato dall’art. 16 della presente Convenzione.</w:t>
      </w:r>
    </w:p>
    <w:p>
      <w:pPr>
        <w:pStyle w:val="ListParagraph"/>
        <w:tabs>
          <w:tab w:val="clear" w:pos="720"/>
          <w:tab w:val="left" w:pos="476" w:leader="none"/>
        </w:tabs>
        <w:spacing w:lineRule="auto" w:line="360" w:before="0" w:after="0"/>
        <w:ind w:left="157" w:right="121" w:hanging="0"/>
        <w:rPr>
          <w:rFonts w:ascii="Arial" w:hAnsi="Arial" w:cs="Arial"/>
          <w:sz w:val="20"/>
          <w:szCs w:val="20"/>
          <w:highlight w:val="yellow"/>
        </w:rPr>
      </w:pPr>
      <w:r>
        <w:rPr>
          <w:rFonts w:cs="Arial" w:ascii="Arial" w:hAnsi="Arial"/>
          <w:sz w:val="20"/>
          <w:szCs w:val="20"/>
          <w:highlight w:val="yellow"/>
        </w:rPr>
      </w:r>
    </w:p>
    <w:p>
      <w:pPr>
        <w:pStyle w:val="Titolo1"/>
        <w:spacing w:lineRule="auto" w:line="360"/>
        <w:ind w:left="40" w:hanging="0"/>
        <w:rPr>
          <w:rFonts w:ascii="Arial" w:hAnsi="Arial" w:cs="Arial"/>
          <w:sz w:val="20"/>
          <w:szCs w:val="20"/>
        </w:rPr>
      </w:pPr>
      <w:bookmarkStart w:id="23" w:name="_bookmark10"/>
      <w:bookmarkStart w:id="24" w:name="Art._9_Attività_di_competenza_dell'Ente_"/>
      <w:bookmarkEnd w:id="23"/>
      <w:bookmarkEnd w:id="24"/>
      <w:r>
        <w:rPr>
          <w:rFonts w:cs="Arial" w:ascii="Arial" w:hAnsi="Arial"/>
          <w:spacing w:val="-1"/>
          <w:sz w:val="20"/>
          <w:szCs w:val="20"/>
        </w:rPr>
        <w:t>Art. 9</w:t>
      </w:r>
      <w:r>
        <w:rPr>
          <w:rFonts w:cs="Arial" w:ascii="Arial" w:hAnsi="Arial"/>
          <w:spacing w:val="-16"/>
          <w:sz w:val="20"/>
          <w:szCs w:val="20"/>
        </w:rPr>
        <w:t xml:space="preserve"> </w:t>
      </w:r>
      <w:r>
        <w:rPr>
          <w:rFonts w:cs="Arial" w:ascii="Arial" w:hAnsi="Arial"/>
          <w:spacing w:val="-1"/>
          <w:sz w:val="20"/>
          <w:szCs w:val="20"/>
        </w:rPr>
        <w:t>Attività</w:t>
      </w:r>
      <w:r>
        <w:rPr>
          <w:rFonts w:cs="Arial" w:ascii="Arial" w:hAnsi="Arial"/>
          <w:sz w:val="20"/>
          <w:szCs w:val="20"/>
        </w:rPr>
        <w:t xml:space="preserve"> </w:t>
      </w:r>
      <w:r>
        <w:rPr>
          <w:rFonts w:cs="Arial" w:ascii="Arial" w:hAnsi="Arial"/>
          <w:spacing w:val="-1"/>
          <w:sz w:val="20"/>
          <w:szCs w:val="20"/>
        </w:rPr>
        <w:t>di</w:t>
      </w:r>
      <w:r>
        <w:rPr>
          <w:rFonts w:cs="Arial" w:ascii="Arial" w:hAnsi="Arial"/>
          <w:sz w:val="20"/>
          <w:szCs w:val="20"/>
        </w:rPr>
        <w:t xml:space="preserve"> </w:t>
      </w:r>
      <w:r>
        <w:rPr>
          <w:rFonts w:cs="Arial" w:ascii="Arial" w:hAnsi="Arial"/>
          <w:spacing w:val="-1"/>
          <w:sz w:val="20"/>
          <w:szCs w:val="20"/>
        </w:rPr>
        <w:t xml:space="preserve">competenza </w:t>
      </w:r>
      <w:r>
        <w:rPr>
          <w:rFonts w:cs="Arial" w:ascii="Arial" w:hAnsi="Arial"/>
          <w:sz w:val="20"/>
          <w:szCs w:val="20"/>
        </w:rPr>
        <w:t>dell'Ente</w:t>
      </w:r>
      <w:r>
        <w:rPr>
          <w:rFonts w:cs="Arial" w:ascii="Arial" w:hAnsi="Arial"/>
          <w:spacing w:val="-1"/>
          <w:sz w:val="20"/>
          <w:szCs w:val="20"/>
        </w:rPr>
        <w:t xml:space="preserve"> </w:t>
      </w:r>
      <w:r>
        <w:rPr>
          <w:rFonts w:cs="Arial" w:ascii="Arial" w:hAnsi="Arial"/>
          <w:sz w:val="20"/>
          <w:szCs w:val="20"/>
        </w:rPr>
        <w:t>aderente</w:t>
      </w:r>
    </w:p>
    <w:p>
      <w:pPr>
        <w:pStyle w:val="ListParagraph"/>
        <w:spacing w:lineRule="auto" w:line="360"/>
        <w:ind w:left="572" w:right="142" w:hanging="0"/>
        <w:rPr>
          <w:rFonts w:ascii="Arial" w:hAnsi="Arial" w:cs="Arial"/>
          <w:sz w:val="20"/>
          <w:szCs w:val="20"/>
        </w:rPr>
      </w:pPr>
      <w:r>
        <w:rPr>
          <w:rFonts w:cs="Arial" w:ascii="Arial" w:hAnsi="Arial"/>
          <w:sz w:val="20"/>
          <w:szCs w:val="20"/>
        </w:rPr>
        <w:t>L’Ente aderente è titolare, ad ogni fine, dell'intervento di acquisizione dell'opera,</w:t>
      </w:r>
      <w:r>
        <w:rPr>
          <w:rFonts w:cs="Arial" w:ascii="Arial" w:hAnsi="Arial"/>
          <w:spacing w:val="1"/>
          <w:sz w:val="20"/>
          <w:szCs w:val="20"/>
        </w:rPr>
        <w:t xml:space="preserve"> </w:t>
      </w:r>
      <w:r>
        <w:rPr>
          <w:rFonts w:cs="Arial" w:ascii="Arial" w:hAnsi="Arial"/>
          <w:sz w:val="20"/>
          <w:szCs w:val="20"/>
        </w:rPr>
        <w:t>bene</w:t>
      </w:r>
      <w:r>
        <w:rPr>
          <w:rFonts w:cs="Arial" w:ascii="Arial" w:hAnsi="Arial"/>
          <w:spacing w:val="1"/>
          <w:sz w:val="20"/>
          <w:szCs w:val="20"/>
        </w:rPr>
        <w:t xml:space="preserve"> </w:t>
      </w:r>
      <w:r>
        <w:rPr>
          <w:rFonts w:cs="Arial" w:ascii="Arial" w:hAnsi="Arial"/>
          <w:sz w:val="20"/>
          <w:szCs w:val="20"/>
        </w:rPr>
        <w:t>o</w:t>
      </w:r>
      <w:r>
        <w:rPr>
          <w:rFonts w:cs="Arial" w:ascii="Arial" w:hAnsi="Arial"/>
          <w:spacing w:val="1"/>
          <w:sz w:val="20"/>
          <w:szCs w:val="20"/>
        </w:rPr>
        <w:t xml:space="preserve"> </w:t>
      </w:r>
      <w:r>
        <w:rPr>
          <w:rFonts w:cs="Arial" w:ascii="Arial" w:hAnsi="Arial"/>
          <w:sz w:val="20"/>
          <w:szCs w:val="20"/>
        </w:rPr>
        <w:t>servizio,</w:t>
      </w:r>
      <w:r>
        <w:rPr>
          <w:rFonts w:cs="Arial" w:ascii="Arial" w:hAnsi="Arial"/>
          <w:spacing w:val="1"/>
          <w:sz w:val="20"/>
          <w:szCs w:val="20"/>
        </w:rPr>
        <w:t xml:space="preserve"> </w:t>
      </w:r>
      <w:r>
        <w:rPr>
          <w:rFonts w:cs="Arial" w:ascii="Arial" w:hAnsi="Arial"/>
          <w:sz w:val="20"/>
          <w:szCs w:val="20"/>
        </w:rPr>
        <w:t>essendo</w:t>
      </w:r>
      <w:r>
        <w:rPr>
          <w:rFonts w:cs="Arial" w:ascii="Arial" w:hAnsi="Arial"/>
          <w:spacing w:val="1"/>
          <w:sz w:val="20"/>
          <w:szCs w:val="20"/>
        </w:rPr>
        <w:t xml:space="preserve"> </w:t>
      </w:r>
      <w:r>
        <w:rPr>
          <w:rFonts w:cs="Arial" w:ascii="Arial" w:hAnsi="Arial"/>
          <w:sz w:val="20"/>
          <w:szCs w:val="20"/>
        </w:rPr>
        <w:t>demandate</w:t>
      </w:r>
      <w:r>
        <w:rPr>
          <w:rFonts w:cs="Arial" w:ascii="Arial" w:hAnsi="Arial"/>
          <w:spacing w:val="1"/>
          <w:sz w:val="20"/>
          <w:szCs w:val="20"/>
        </w:rPr>
        <w:t xml:space="preserve"> </w:t>
      </w:r>
      <w:r>
        <w:rPr>
          <w:rFonts w:cs="Arial" w:ascii="Arial" w:hAnsi="Arial"/>
          <w:sz w:val="20"/>
          <w:szCs w:val="20"/>
        </w:rPr>
        <w:t>alla</w:t>
      </w:r>
      <w:r>
        <w:rPr>
          <w:rFonts w:cs="Arial" w:ascii="Arial" w:hAnsi="Arial"/>
          <w:spacing w:val="1"/>
          <w:sz w:val="20"/>
          <w:szCs w:val="20"/>
        </w:rPr>
        <w:t xml:space="preserve"> </w:t>
      </w:r>
      <w:r>
        <w:rPr>
          <w:rFonts w:cs="Arial" w:ascii="Arial" w:hAnsi="Arial"/>
          <w:sz w:val="20"/>
          <w:szCs w:val="20"/>
        </w:rPr>
        <w:t>S.U.A.</w:t>
      </w:r>
      <w:r>
        <w:rPr>
          <w:rFonts w:cs="Arial" w:ascii="Arial" w:hAnsi="Arial"/>
          <w:spacing w:val="1"/>
          <w:sz w:val="20"/>
          <w:szCs w:val="20"/>
        </w:rPr>
        <w:t xml:space="preserve"> </w:t>
      </w:r>
      <w:r>
        <w:rPr>
          <w:rFonts w:cs="Arial" w:ascii="Arial" w:hAnsi="Arial"/>
          <w:sz w:val="20"/>
          <w:szCs w:val="20"/>
        </w:rPr>
        <w:t>unicamente</w:t>
      </w:r>
      <w:r>
        <w:rPr>
          <w:rFonts w:cs="Arial" w:ascii="Arial" w:hAnsi="Arial"/>
          <w:spacing w:val="1"/>
          <w:sz w:val="20"/>
          <w:szCs w:val="20"/>
        </w:rPr>
        <w:t xml:space="preserve"> </w:t>
      </w:r>
      <w:r>
        <w:rPr>
          <w:rFonts w:cs="Arial" w:ascii="Arial" w:hAnsi="Arial"/>
          <w:sz w:val="20"/>
          <w:szCs w:val="20"/>
        </w:rPr>
        <w:t>funzioni</w:t>
      </w:r>
      <w:r>
        <w:rPr>
          <w:rFonts w:cs="Arial" w:ascii="Arial" w:hAnsi="Arial"/>
          <w:spacing w:val="1"/>
          <w:sz w:val="20"/>
          <w:szCs w:val="20"/>
        </w:rPr>
        <w:t xml:space="preserve"> </w:t>
      </w:r>
      <w:r>
        <w:rPr>
          <w:rFonts w:cs="Arial" w:ascii="Arial" w:hAnsi="Arial"/>
          <w:sz w:val="20"/>
          <w:szCs w:val="20"/>
        </w:rPr>
        <w:t>di individuazione</w:t>
      </w:r>
      <w:r>
        <w:rPr>
          <w:rFonts w:cs="Arial" w:ascii="Arial" w:hAnsi="Arial"/>
          <w:spacing w:val="1"/>
          <w:sz w:val="20"/>
          <w:szCs w:val="20"/>
        </w:rPr>
        <w:t xml:space="preserve"> </w:t>
      </w:r>
      <w:r>
        <w:rPr>
          <w:rFonts w:cs="Arial" w:ascii="Arial" w:hAnsi="Arial"/>
          <w:sz w:val="20"/>
          <w:szCs w:val="20"/>
        </w:rPr>
        <w:t>del</w:t>
      </w:r>
      <w:r>
        <w:rPr>
          <w:rFonts w:cs="Arial" w:ascii="Arial" w:hAnsi="Arial"/>
          <w:spacing w:val="1"/>
          <w:sz w:val="20"/>
          <w:szCs w:val="20"/>
        </w:rPr>
        <w:t xml:space="preserve"> </w:t>
      </w:r>
      <w:r>
        <w:rPr>
          <w:rFonts w:cs="Arial" w:ascii="Arial" w:hAnsi="Arial"/>
          <w:sz w:val="20"/>
          <w:szCs w:val="20"/>
        </w:rPr>
        <w:t>terzo</w:t>
      </w:r>
      <w:r>
        <w:rPr>
          <w:rFonts w:cs="Arial" w:ascii="Arial" w:hAnsi="Arial"/>
          <w:spacing w:val="1"/>
          <w:sz w:val="20"/>
          <w:szCs w:val="20"/>
        </w:rPr>
        <w:t xml:space="preserve"> </w:t>
      </w:r>
      <w:r>
        <w:rPr>
          <w:rFonts w:cs="Arial" w:ascii="Arial" w:hAnsi="Arial"/>
          <w:sz w:val="20"/>
          <w:szCs w:val="20"/>
        </w:rPr>
        <w:t>contraente.</w:t>
      </w:r>
      <w:r>
        <w:rPr>
          <w:rFonts w:cs="Arial" w:ascii="Arial" w:hAnsi="Arial"/>
          <w:spacing w:val="1"/>
          <w:sz w:val="20"/>
          <w:szCs w:val="20"/>
        </w:rPr>
        <w:t xml:space="preserve"> </w:t>
      </w:r>
      <w:r>
        <w:rPr>
          <w:rFonts w:cs="Arial" w:ascii="Arial" w:hAnsi="Arial"/>
          <w:sz w:val="20"/>
          <w:szCs w:val="20"/>
        </w:rPr>
        <w:t>In</w:t>
      </w:r>
      <w:r>
        <w:rPr>
          <w:rFonts w:cs="Arial" w:ascii="Arial" w:hAnsi="Arial"/>
          <w:spacing w:val="1"/>
          <w:sz w:val="20"/>
          <w:szCs w:val="20"/>
        </w:rPr>
        <w:t xml:space="preserve"> </w:t>
      </w:r>
      <w:r>
        <w:rPr>
          <w:rFonts w:cs="Arial" w:ascii="Arial" w:hAnsi="Arial"/>
          <w:sz w:val="20"/>
          <w:szCs w:val="20"/>
        </w:rPr>
        <w:t>particolare,</w:t>
      </w:r>
      <w:r>
        <w:rPr>
          <w:rFonts w:cs="Arial" w:ascii="Arial" w:hAnsi="Arial"/>
          <w:spacing w:val="1"/>
          <w:sz w:val="20"/>
          <w:szCs w:val="20"/>
        </w:rPr>
        <w:t xml:space="preserve"> </w:t>
      </w:r>
      <w:r>
        <w:rPr>
          <w:rFonts w:cs="Arial" w:ascii="Arial" w:hAnsi="Arial"/>
          <w:sz w:val="20"/>
          <w:szCs w:val="20"/>
        </w:rPr>
        <w:t>restano</w:t>
      </w:r>
      <w:r>
        <w:rPr>
          <w:rFonts w:cs="Arial" w:ascii="Arial" w:hAnsi="Arial"/>
          <w:spacing w:val="1"/>
          <w:sz w:val="20"/>
          <w:szCs w:val="20"/>
        </w:rPr>
        <w:t xml:space="preserve"> </w:t>
      </w:r>
      <w:r>
        <w:rPr>
          <w:rFonts w:cs="Arial" w:ascii="Arial" w:hAnsi="Arial"/>
          <w:sz w:val="20"/>
          <w:szCs w:val="20"/>
        </w:rPr>
        <w:t>di</w:t>
      </w:r>
      <w:r>
        <w:rPr>
          <w:rFonts w:cs="Arial" w:ascii="Arial" w:hAnsi="Arial"/>
          <w:spacing w:val="1"/>
          <w:sz w:val="20"/>
          <w:szCs w:val="20"/>
        </w:rPr>
        <w:t xml:space="preserve"> </w:t>
      </w:r>
      <w:r>
        <w:rPr>
          <w:rFonts w:cs="Arial" w:ascii="Arial" w:hAnsi="Arial"/>
          <w:sz w:val="20"/>
          <w:szCs w:val="20"/>
        </w:rPr>
        <w:t>competenza</w:t>
      </w:r>
      <w:r>
        <w:rPr>
          <w:rFonts w:cs="Arial" w:ascii="Arial" w:hAnsi="Arial"/>
          <w:spacing w:val="1"/>
          <w:sz w:val="20"/>
          <w:szCs w:val="20"/>
        </w:rPr>
        <w:t xml:space="preserve"> </w:t>
      </w:r>
      <w:r>
        <w:rPr>
          <w:rFonts w:cs="Arial" w:ascii="Arial" w:hAnsi="Arial"/>
          <w:sz w:val="20"/>
          <w:szCs w:val="20"/>
        </w:rPr>
        <w:t>del</w:t>
      </w:r>
      <w:r>
        <w:rPr>
          <w:rFonts w:cs="Arial" w:ascii="Arial" w:hAnsi="Arial"/>
          <w:spacing w:val="1"/>
          <w:sz w:val="20"/>
          <w:szCs w:val="20"/>
        </w:rPr>
        <w:t xml:space="preserve"> </w:t>
      </w:r>
      <w:r>
        <w:rPr>
          <w:rFonts w:cs="Arial" w:ascii="Arial" w:hAnsi="Arial"/>
          <w:sz w:val="20"/>
          <w:szCs w:val="20"/>
        </w:rPr>
        <w:t>singolo</w:t>
      </w:r>
      <w:r>
        <w:rPr>
          <w:rFonts w:cs="Arial" w:ascii="Arial" w:hAnsi="Arial"/>
          <w:spacing w:val="-1"/>
          <w:sz w:val="20"/>
          <w:szCs w:val="20"/>
        </w:rPr>
        <w:t xml:space="preserve"> </w:t>
      </w:r>
      <w:r>
        <w:rPr>
          <w:rFonts w:cs="Arial" w:ascii="Arial" w:hAnsi="Arial"/>
          <w:sz w:val="20"/>
          <w:szCs w:val="20"/>
        </w:rPr>
        <w:t>Ente</w:t>
      </w:r>
      <w:r>
        <w:rPr>
          <w:rFonts w:cs="Arial" w:ascii="Arial" w:hAnsi="Arial"/>
          <w:spacing w:val="-17"/>
          <w:sz w:val="20"/>
          <w:szCs w:val="20"/>
        </w:rPr>
        <w:t xml:space="preserve"> </w:t>
      </w:r>
      <w:r>
        <w:rPr>
          <w:rFonts w:cs="Arial" w:ascii="Arial" w:hAnsi="Arial"/>
          <w:sz w:val="20"/>
          <w:szCs w:val="20"/>
        </w:rPr>
        <w:t>Aderente:</w:t>
      </w:r>
    </w:p>
    <w:p>
      <w:pPr>
        <w:pStyle w:val="ListParagraph"/>
        <w:numPr>
          <w:ilvl w:val="0"/>
          <w:numId w:val="10"/>
        </w:numPr>
        <w:spacing w:lineRule="auto" w:line="360"/>
        <w:ind w:left="572" w:right="142" w:hanging="360"/>
        <w:rPr>
          <w:rFonts w:ascii="Arial" w:hAnsi="Arial" w:cs="Arial"/>
          <w:sz w:val="20"/>
          <w:szCs w:val="20"/>
        </w:rPr>
      </w:pPr>
      <w:r>
        <w:rPr>
          <w:rFonts w:cs="Arial" w:ascii="Arial" w:hAnsi="Arial"/>
          <w:sz w:val="20"/>
          <w:szCs w:val="20"/>
        </w:rPr>
        <w:t>la trasmissione alla S.U.A. dei propri fabbisogni, secondo quanto definito dall’art. 6, e l’inserimento nei propri atti di programmazione, ove richiesto;</w:t>
      </w:r>
    </w:p>
    <w:p>
      <w:pPr>
        <w:pStyle w:val="ListParagraph"/>
        <w:numPr>
          <w:ilvl w:val="0"/>
          <w:numId w:val="10"/>
        </w:numPr>
        <w:spacing w:lineRule="auto" w:line="360"/>
        <w:ind w:left="572" w:right="142" w:hanging="360"/>
        <w:rPr>
          <w:rFonts w:ascii="Arial" w:hAnsi="Arial" w:cs="Arial"/>
          <w:sz w:val="20"/>
          <w:szCs w:val="20"/>
        </w:rPr>
      </w:pPr>
      <w:r>
        <w:rPr>
          <w:rFonts w:cs="Arial" w:ascii="Arial" w:hAnsi="Arial"/>
          <w:sz w:val="20"/>
          <w:szCs w:val="20"/>
        </w:rPr>
        <w:t>la definizione dell’oggetto contrattuale (lavori, servizi, forniture) e la trasmissione alla S.U.A. di tutti i dati e le informazioni necessarie per assicurare che gli atti di gara siano conformi alle esigenze dell’Ente, in particolare per quanto concerne la descrizione delle caratteristiche del bene, servizio o lavoro che si intende acquisire e le obbligazioni dell’aggiudicatario;</w:t>
      </w:r>
    </w:p>
    <w:p>
      <w:pPr>
        <w:pStyle w:val="ListParagraph"/>
        <w:numPr>
          <w:ilvl w:val="0"/>
          <w:numId w:val="10"/>
        </w:numPr>
        <w:spacing w:lineRule="auto" w:line="360"/>
        <w:ind w:left="572" w:right="142" w:hanging="360"/>
        <w:rPr>
          <w:rFonts w:ascii="Arial" w:hAnsi="Arial" w:cs="Arial"/>
          <w:sz w:val="20"/>
          <w:szCs w:val="20"/>
        </w:rPr>
      </w:pPr>
      <w:r>
        <w:rPr>
          <w:rFonts w:cs="Arial" w:ascii="Arial" w:hAnsi="Arial"/>
          <w:sz w:val="20"/>
          <w:szCs w:val="20"/>
        </w:rPr>
        <w:t>l’acquisizione del CUP e CUI;</w:t>
      </w:r>
    </w:p>
    <w:p>
      <w:pPr>
        <w:pStyle w:val="ListParagraph"/>
        <w:numPr>
          <w:ilvl w:val="0"/>
          <w:numId w:val="10"/>
        </w:numPr>
        <w:spacing w:lineRule="auto" w:line="360"/>
        <w:ind w:left="572" w:right="142" w:hanging="360"/>
        <w:rPr>
          <w:rFonts w:ascii="Arial" w:hAnsi="Arial" w:cs="Arial"/>
          <w:sz w:val="20"/>
          <w:szCs w:val="20"/>
        </w:rPr>
      </w:pPr>
      <w:r>
        <w:rPr>
          <w:rFonts w:cs="Arial" w:ascii="Arial" w:hAnsi="Arial"/>
          <w:sz w:val="20"/>
          <w:szCs w:val="20"/>
        </w:rPr>
        <w:t>l’individuazione delle fonti di finanziamento per le prestazioni e gli oneri procedurali (compresi gli eventuali emolumenti da corrispondere ad esperti esterni chiamati a fare parte delle Commissioni giudicatrici);</w:t>
      </w:r>
    </w:p>
    <w:p>
      <w:pPr>
        <w:pStyle w:val="ListParagraph"/>
        <w:numPr>
          <w:ilvl w:val="0"/>
          <w:numId w:val="10"/>
        </w:numPr>
        <w:spacing w:lineRule="auto" w:line="360"/>
        <w:ind w:left="572" w:right="142" w:hanging="360"/>
        <w:rPr>
          <w:rFonts w:ascii="Arial" w:hAnsi="Arial" w:cs="Arial"/>
          <w:sz w:val="20"/>
          <w:szCs w:val="20"/>
        </w:rPr>
      </w:pPr>
      <w:r>
        <w:rPr>
          <w:rFonts w:cs="Arial" w:ascii="Arial" w:hAnsi="Arial"/>
          <w:sz w:val="20"/>
          <w:szCs w:val="20"/>
        </w:rPr>
        <w:t>l’approvazione del progetto da porre a base di gara, nel livello di definizione richiesto a seconda del tipo di procedura;</w:t>
      </w:r>
    </w:p>
    <w:p>
      <w:pPr>
        <w:pStyle w:val="ListParagraph"/>
        <w:numPr>
          <w:ilvl w:val="0"/>
          <w:numId w:val="10"/>
        </w:numPr>
        <w:spacing w:lineRule="auto" w:line="360"/>
        <w:ind w:left="572" w:right="142" w:hanging="360"/>
        <w:rPr>
          <w:rFonts w:ascii="Arial" w:hAnsi="Arial" w:cs="Arial"/>
          <w:sz w:val="20"/>
          <w:szCs w:val="20"/>
        </w:rPr>
      </w:pPr>
      <w:r>
        <w:rPr>
          <w:rFonts w:cs="Arial" w:ascii="Arial" w:hAnsi="Arial"/>
          <w:sz w:val="20"/>
          <w:szCs w:val="20"/>
        </w:rPr>
        <w:t>la presa d’atto della decisione a contrarre predisposta dalla S.U.A. con la quale è individuato il criterio di selezione del contraente e sono approvati i documenti a base di gara (schema di contratto, criteri di valutazione delle offerte nel caso di offerta economicamente più vantaggiosa e i requisiti di ordine Speciale richiesti per la partecipazione alla gara);</w:t>
      </w:r>
    </w:p>
    <w:p>
      <w:pPr>
        <w:pStyle w:val="ListParagraph"/>
        <w:numPr>
          <w:ilvl w:val="0"/>
          <w:numId w:val="10"/>
        </w:numPr>
        <w:spacing w:lineRule="auto" w:line="360"/>
        <w:ind w:left="572" w:right="142" w:hanging="360"/>
        <w:rPr>
          <w:rFonts w:ascii="Arial" w:hAnsi="Arial" w:cs="Arial"/>
          <w:sz w:val="20"/>
          <w:szCs w:val="20"/>
        </w:rPr>
      </w:pPr>
      <w:r>
        <w:rPr>
          <w:rFonts w:cs="Arial" w:ascii="Arial" w:hAnsi="Arial"/>
          <w:sz w:val="20"/>
          <w:szCs w:val="20"/>
        </w:rPr>
        <w:t>la formalizzazione degli impegni di spesa relativi all’affidamento, anche per le spese di pubblicazione ed il contributo ANAC, che restano di competenza dell’Ente aderente;</w:t>
      </w:r>
    </w:p>
    <w:p>
      <w:pPr>
        <w:pStyle w:val="ListParagraph"/>
        <w:numPr>
          <w:ilvl w:val="0"/>
          <w:numId w:val="10"/>
        </w:numPr>
        <w:spacing w:lineRule="auto" w:line="360"/>
        <w:ind w:left="572" w:right="142" w:hanging="360"/>
        <w:rPr>
          <w:rFonts w:ascii="Arial" w:hAnsi="Arial" w:cs="Arial"/>
          <w:sz w:val="20"/>
          <w:szCs w:val="20"/>
        </w:rPr>
      </w:pPr>
      <w:r>
        <w:rPr>
          <w:rFonts w:cs="Arial" w:ascii="Arial" w:hAnsi="Arial"/>
          <w:sz w:val="20"/>
          <w:szCs w:val="20"/>
        </w:rPr>
        <w:t>l’individuazione dei soggetti da nominare quali componenti dell’eventuale Seggio di gara e quali componenti esperti della Commissione di Gara ai fini della successiva formalizzazione con apposito atto di nomina da parte della S.U.A., salvo diverso accordo in occasione della specifica procedura;</w:t>
      </w:r>
    </w:p>
    <w:p>
      <w:pPr>
        <w:pStyle w:val="ListParagraph"/>
        <w:numPr>
          <w:ilvl w:val="0"/>
          <w:numId w:val="10"/>
        </w:numPr>
        <w:spacing w:lineRule="auto" w:line="360"/>
        <w:ind w:left="572" w:right="142" w:hanging="360"/>
        <w:rPr>
          <w:rFonts w:ascii="Arial" w:hAnsi="Arial" w:cs="Arial"/>
          <w:sz w:val="20"/>
          <w:szCs w:val="20"/>
        </w:rPr>
      </w:pPr>
      <w:r>
        <w:rPr>
          <w:rFonts w:cs="Arial" w:ascii="Arial" w:hAnsi="Arial"/>
          <w:sz w:val="20"/>
          <w:szCs w:val="20"/>
        </w:rPr>
        <w:t>la messa a disposizione del proprio personale in orario di servizio per lo svolgimento della gara e la partecipazione alle commissioni di gara proprie e di altri Enti aderenti;</w:t>
      </w:r>
    </w:p>
    <w:p>
      <w:pPr>
        <w:pStyle w:val="ListParagraph"/>
        <w:numPr>
          <w:ilvl w:val="0"/>
          <w:numId w:val="10"/>
        </w:numPr>
        <w:spacing w:lineRule="auto" w:line="360"/>
        <w:ind w:left="572" w:right="142" w:hanging="360"/>
        <w:rPr>
          <w:rFonts w:ascii="Arial" w:hAnsi="Arial" w:cs="Arial"/>
          <w:sz w:val="20"/>
          <w:szCs w:val="20"/>
        </w:rPr>
      </w:pPr>
      <w:r>
        <w:rPr>
          <w:rFonts w:cs="Arial" w:ascii="Arial" w:hAnsi="Arial"/>
          <w:sz w:val="20"/>
          <w:szCs w:val="20"/>
        </w:rPr>
        <w:t>l’individuazione degli operatori economici da invitare nelle procedure negoziate secondo le modalità stabilite dagli artt. 50 e 76 del Codice, o comunque dalla normativa rilevante per le procedure a invito, salvo diverso accordo in occasione della singola procedura;</w:t>
      </w:r>
    </w:p>
    <w:p>
      <w:pPr>
        <w:pStyle w:val="ListParagraph"/>
        <w:numPr>
          <w:ilvl w:val="0"/>
          <w:numId w:val="10"/>
        </w:numPr>
        <w:spacing w:lineRule="auto" w:line="360"/>
        <w:ind w:left="572" w:right="142" w:hanging="360"/>
        <w:rPr>
          <w:rFonts w:ascii="Arial" w:hAnsi="Arial" w:cs="Arial"/>
          <w:sz w:val="20"/>
          <w:szCs w:val="20"/>
        </w:rPr>
      </w:pPr>
      <w:r>
        <w:rPr>
          <w:rFonts w:cs="Arial" w:ascii="Arial" w:hAnsi="Arial"/>
          <w:sz w:val="20"/>
          <w:szCs w:val="20"/>
        </w:rPr>
        <w:t>La presa d’atto del provvedimento di aggiudicazione redatto dalla S.U.A.;</w:t>
      </w:r>
    </w:p>
    <w:p>
      <w:pPr>
        <w:pStyle w:val="ListParagraph"/>
        <w:numPr>
          <w:ilvl w:val="0"/>
          <w:numId w:val="10"/>
        </w:numPr>
        <w:spacing w:lineRule="auto" w:line="360"/>
        <w:ind w:left="572" w:right="142" w:hanging="360"/>
        <w:rPr>
          <w:rFonts w:ascii="Arial" w:hAnsi="Arial" w:cs="Arial"/>
          <w:sz w:val="20"/>
          <w:szCs w:val="20"/>
        </w:rPr>
      </w:pPr>
      <w:r>
        <w:rPr>
          <w:rFonts w:cs="Arial" w:ascii="Arial" w:hAnsi="Arial"/>
          <w:sz w:val="20"/>
          <w:szCs w:val="20"/>
        </w:rPr>
        <w:t>i rapporti con l’ANAC e le comunicazioni all’Osservatorio sui Contratti Pubblici, nonché le pubblicazioni, sul proprio sito Amministrazione Trasparente, per gli atti di propria competenza, previste dal decreto legislativo n. 33/2013 e dalla legge 190/2012;</w:t>
      </w:r>
    </w:p>
    <w:p>
      <w:pPr>
        <w:pStyle w:val="ListParagraph"/>
        <w:numPr>
          <w:ilvl w:val="0"/>
          <w:numId w:val="10"/>
        </w:numPr>
        <w:spacing w:lineRule="auto" w:line="360"/>
        <w:ind w:left="572" w:right="142" w:hanging="360"/>
        <w:rPr>
          <w:rFonts w:ascii="Arial" w:hAnsi="Arial" w:cs="Arial"/>
          <w:sz w:val="20"/>
          <w:szCs w:val="20"/>
        </w:rPr>
      </w:pPr>
      <w:r>
        <w:rPr>
          <w:rFonts w:cs="Arial" w:ascii="Arial" w:hAnsi="Arial"/>
          <w:sz w:val="20"/>
          <w:szCs w:val="20"/>
        </w:rPr>
        <w:t>la stipula del contratto e la gestione della fase di esecuzione dello stesso, in particolare con riferimento alle fasi di: consegna, collaudo/verifica di conformità, tenuta della contabilità, pagamento dei corrispettivi, adempimenti da effettuare sul sito ANAC, comunicazioni all’Osservatorio Regionale e tutte le comunicazioni successive alla fase di inizio delle attività, salvo quanto previsto nell’articolo precedente.</w:t>
      </w:r>
    </w:p>
    <w:p>
      <w:pPr>
        <w:pStyle w:val="ListParagraph"/>
        <w:tabs>
          <w:tab w:val="clear" w:pos="720"/>
          <w:tab w:val="left" w:pos="532" w:leader="none"/>
        </w:tabs>
        <w:spacing w:lineRule="auto" w:line="360" w:before="0" w:after="0"/>
        <w:ind w:left="157" w:right="116" w:hanging="0"/>
        <w:jc w:val="left"/>
        <w:rPr>
          <w:rFonts w:ascii="Arial" w:hAnsi="Arial" w:cs="Arial"/>
          <w:sz w:val="20"/>
          <w:szCs w:val="20"/>
        </w:rPr>
      </w:pPr>
      <w:r>
        <w:rPr>
          <w:rFonts w:cs="Arial" w:ascii="Arial" w:hAnsi="Arial"/>
          <w:sz w:val="20"/>
          <w:szCs w:val="20"/>
        </w:rPr>
      </w:r>
    </w:p>
    <w:p>
      <w:pPr>
        <w:pStyle w:val="Titolo1"/>
        <w:spacing w:lineRule="auto" w:line="360"/>
        <w:ind w:left="42" w:hanging="0"/>
        <w:rPr>
          <w:rFonts w:ascii="Arial" w:hAnsi="Arial" w:cs="Arial"/>
          <w:sz w:val="20"/>
          <w:szCs w:val="20"/>
        </w:rPr>
      </w:pPr>
      <w:bookmarkStart w:id="25" w:name="_bookmark11"/>
      <w:bookmarkStart w:id="26" w:name="Art._10_Procedure_aggregate_ed_eventuali"/>
      <w:bookmarkEnd w:id="25"/>
      <w:bookmarkEnd w:id="26"/>
      <w:r>
        <w:rPr>
          <w:rFonts w:cs="Arial" w:ascii="Arial" w:hAnsi="Arial"/>
          <w:sz w:val="20"/>
          <w:szCs w:val="20"/>
        </w:rPr>
        <w:t>Art.</w:t>
      </w:r>
      <w:r>
        <w:rPr>
          <w:rFonts w:cs="Arial" w:ascii="Arial" w:hAnsi="Arial"/>
          <w:spacing w:val="-5"/>
          <w:sz w:val="20"/>
          <w:szCs w:val="20"/>
        </w:rPr>
        <w:t xml:space="preserve"> </w:t>
      </w:r>
      <w:r>
        <w:rPr>
          <w:rFonts w:cs="Arial" w:ascii="Arial" w:hAnsi="Arial"/>
          <w:sz w:val="20"/>
          <w:szCs w:val="20"/>
        </w:rPr>
        <w:t>10</w:t>
      </w:r>
      <w:r>
        <w:rPr>
          <w:rFonts w:cs="Arial" w:ascii="Arial" w:hAnsi="Arial"/>
          <w:spacing w:val="-5"/>
          <w:sz w:val="20"/>
          <w:szCs w:val="20"/>
        </w:rPr>
        <w:t xml:space="preserve"> </w:t>
      </w:r>
      <w:r>
        <w:rPr>
          <w:rFonts w:cs="Arial" w:ascii="Arial" w:hAnsi="Arial"/>
          <w:sz w:val="20"/>
          <w:szCs w:val="20"/>
        </w:rPr>
        <w:t>Procedure</w:t>
      </w:r>
      <w:r>
        <w:rPr>
          <w:rFonts w:cs="Arial" w:ascii="Arial" w:hAnsi="Arial"/>
          <w:spacing w:val="-6"/>
          <w:sz w:val="20"/>
          <w:szCs w:val="20"/>
        </w:rPr>
        <w:t xml:space="preserve"> </w:t>
      </w:r>
      <w:r>
        <w:rPr>
          <w:rFonts w:cs="Arial" w:ascii="Arial" w:hAnsi="Arial"/>
          <w:sz w:val="20"/>
          <w:szCs w:val="20"/>
        </w:rPr>
        <w:t>aggregate</w:t>
      </w:r>
      <w:r>
        <w:rPr>
          <w:rFonts w:cs="Arial" w:ascii="Arial" w:hAnsi="Arial"/>
          <w:spacing w:val="-6"/>
          <w:sz w:val="20"/>
          <w:szCs w:val="20"/>
        </w:rPr>
        <w:t xml:space="preserve"> </w:t>
      </w:r>
      <w:r>
        <w:rPr>
          <w:rFonts w:cs="Arial" w:ascii="Arial" w:hAnsi="Arial"/>
          <w:sz w:val="20"/>
          <w:szCs w:val="20"/>
        </w:rPr>
        <w:t>ed</w:t>
      </w:r>
      <w:r>
        <w:rPr>
          <w:rFonts w:cs="Arial" w:ascii="Arial" w:hAnsi="Arial"/>
          <w:spacing w:val="-6"/>
          <w:sz w:val="20"/>
          <w:szCs w:val="20"/>
        </w:rPr>
        <w:t xml:space="preserve"> </w:t>
      </w:r>
      <w:r>
        <w:rPr>
          <w:rFonts w:cs="Arial" w:ascii="Arial" w:hAnsi="Arial"/>
          <w:sz w:val="20"/>
          <w:szCs w:val="20"/>
        </w:rPr>
        <w:t>eventuali</w:t>
      </w:r>
      <w:r>
        <w:rPr>
          <w:rFonts w:cs="Arial" w:ascii="Arial" w:hAnsi="Arial"/>
          <w:spacing w:val="-5"/>
          <w:sz w:val="20"/>
          <w:szCs w:val="20"/>
        </w:rPr>
        <w:t xml:space="preserve"> </w:t>
      </w:r>
      <w:r>
        <w:rPr>
          <w:rFonts w:cs="Arial" w:ascii="Arial" w:hAnsi="Arial"/>
          <w:sz w:val="20"/>
          <w:szCs w:val="20"/>
        </w:rPr>
        <w:t>ulteriori</w:t>
      </w:r>
      <w:r>
        <w:rPr>
          <w:rFonts w:cs="Arial" w:ascii="Arial" w:hAnsi="Arial"/>
          <w:spacing w:val="-3"/>
          <w:sz w:val="20"/>
          <w:szCs w:val="20"/>
        </w:rPr>
        <w:t xml:space="preserve"> </w:t>
      </w:r>
      <w:r>
        <w:rPr>
          <w:rFonts w:cs="Arial" w:ascii="Arial" w:hAnsi="Arial"/>
          <w:sz w:val="20"/>
          <w:szCs w:val="20"/>
        </w:rPr>
        <w:t>attività</w:t>
      </w:r>
      <w:r>
        <w:rPr>
          <w:rFonts w:cs="Arial" w:ascii="Arial" w:hAnsi="Arial"/>
          <w:spacing w:val="-5"/>
          <w:sz w:val="20"/>
          <w:szCs w:val="20"/>
        </w:rPr>
        <w:t xml:space="preserve"> </w:t>
      </w:r>
      <w:r>
        <w:rPr>
          <w:rFonts w:cs="Arial" w:ascii="Arial" w:hAnsi="Arial"/>
          <w:sz w:val="20"/>
          <w:szCs w:val="20"/>
        </w:rPr>
        <w:t>della</w:t>
      </w:r>
      <w:r>
        <w:rPr>
          <w:rFonts w:cs="Arial" w:ascii="Arial" w:hAnsi="Arial"/>
          <w:spacing w:val="-4"/>
          <w:sz w:val="20"/>
          <w:szCs w:val="20"/>
        </w:rPr>
        <w:t xml:space="preserve"> </w:t>
      </w:r>
      <w:r>
        <w:rPr>
          <w:rFonts w:cs="Arial" w:ascii="Arial" w:hAnsi="Arial"/>
          <w:sz w:val="20"/>
          <w:szCs w:val="20"/>
        </w:rPr>
        <w:t>S.U.A.</w:t>
      </w:r>
    </w:p>
    <w:p>
      <w:pPr>
        <w:pStyle w:val="Corpodeltesto"/>
        <w:spacing w:lineRule="auto" w:line="360"/>
        <w:ind w:left="0" w:hanging="0"/>
        <w:jc w:val="left"/>
        <w:rPr>
          <w:rFonts w:ascii="Arial" w:hAnsi="Arial" w:cs="Arial"/>
          <w:b/>
          <w:b/>
          <w:sz w:val="20"/>
          <w:szCs w:val="20"/>
        </w:rPr>
      </w:pPr>
      <w:r>
        <w:rPr>
          <w:rFonts w:cs="Arial" w:ascii="Arial" w:hAnsi="Arial"/>
          <w:b/>
          <w:sz w:val="20"/>
          <w:szCs w:val="20"/>
        </w:rPr>
      </w:r>
    </w:p>
    <w:p>
      <w:pPr>
        <w:pStyle w:val="ListParagraph"/>
        <w:numPr>
          <w:ilvl w:val="0"/>
          <w:numId w:val="11"/>
        </w:numPr>
        <w:spacing w:lineRule="auto" w:line="360"/>
        <w:ind w:left="572" w:right="142" w:hanging="360"/>
        <w:rPr>
          <w:rFonts w:ascii="Arial" w:hAnsi="Arial" w:cs="Arial"/>
          <w:sz w:val="20"/>
          <w:szCs w:val="20"/>
        </w:rPr>
      </w:pPr>
      <w:r>
        <w:rPr>
          <w:rFonts w:cs="Arial" w:ascii="Arial" w:hAnsi="Arial"/>
          <w:sz w:val="20"/>
          <w:szCs w:val="20"/>
        </w:rPr>
        <w:t>In caso di svolgimento di procedura aggregata, volta a soddisfare i fabbisogni di due o più Enti aderenti, la S.U.A. coordina la fase di preparazione degli atti di gara, assicurando la collaborazione degli Enti aderenti interessati, al fine di assicurare che gli atti di gara siano conformi alle esigenze di ciascuno.</w:t>
      </w:r>
    </w:p>
    <w:p>
      <w:pPr>
        <w:pStyle w:val="ListParagraph"/>
        <w:numPr>
          <w:ilvl w:val="0"/>
          <w:numId w:val="11"/>
        </w:numPr>
        <w:spacing w:lineRule="auto" w:line="360"/>
        <w:ind w:left="572" w:right="142" w:hanging="360"/>
        <w:rPr>
          <w:rFonts w:ascii="Arial" w:hAnsi="Arial" w:cs="Arial"/>
          <w:sz w:val="20"/>
          <w:szCs w:val="20"/>
        </w:rPr>
      </w:pPr>
      <w:r>
        <w:rPr>
          <w:rFonts w:cs="Arial" w:ascii="Arial" w:hAnsi="Arial"/>
          <w:sz w:val="20"/>
          <w:szCs w:val="20"/>
        </w:rPr>
        <w:t>La S.U.A. può decidere di non procedere allo svolgimento di una procedura aggregata, in caso di mancato o insufficiente accordo fra gli Enti aderenti interessati.</w:t>
      </w:r>
    </w:p>
    <w:p>
      <w:pPr>
        <w:pStyle w:val="ListParagraph"/>
        <w:numPr>
          <w:ilvl w:val="0"/>
          <w:numId w:val="11"/>
        </w:numPr>
        <w:spacing w:lineRule="auto" w:line="360"/>
        <w:ind w:left="572" w:right="142" w:hanging="360"/>
        <w:rPr>
          <w:rFonts w:ascii="Arial" w:hAnsi="Arial" w:cs="Arial"/>
          <w:sz w:val="20"/>
          <w:szCs w:val="20"/>
        </w:rPr>
      </w:pPr>
      <w:r>
        <w:rPr>
          <w:rFonts w:cs="Arial" w:ascii="Arial" w:hAnsi="Arial"/>
          <w:sz w:val="20"/>
          <w:szCs w:val="20"/>
        </w:rPr>
        <w:t>Si applicano i commi 7, 12 e 13 dell’articolo 62 del D. Lgs. 36/2023, e i pertinenti articoli previsti dalla presente Convenzione, con riferimento a tutti gli Enti aderenti interessati alla procedura.</w:t>
      </w:r>
    </w:p>
    <w:p>
      <w:pPr>
        <w:pStyle w:val="ListParagraph"/>
        <w:numPr>
          <w:ilvl w:val="0"/>
          <w:numId w:val="11"/>
        </w:numPr>
        <w:spacing w:lineRule="auto" w:line="360"/>
        <w:ind w:left="572" w:right="142" w:hanging="360"/>
        <w:rPr>
          <w:rFonts w:ascii="Arial" w:hAnsi="Arial" w:cs="Arial"/>
          <w:sz w:val="20"/>
          <w:szCs w:val="20"/>
        </w:rPr>
      </w:pPr>
      <w:r>
        <w:rPr>
          <w:rFonts w:cs="Arial" w:ascii="Arial" w:hAnsi="Arial"/>
          <w:sz w:val="20"/>
          <w:szCs w:val="20"/>
        </w:rPr>
        <w:t>L’onere del rimborso delle spese di pubblicazione, per il contributo ANAC e per gli incentivi tecnici è ripartito tra gli Enti medesimi proporzionalmente al peso percentuale della parte di affidamento di propria competenza, sul complessivo importo a base di gara.</w:t>
      </w:r>
    </w:p>
    <w:p>
      <w:pPr>
        <w:pStyle w:val="Corpodeltesto"/>
        <w:spacing w:lineRule="auto" w:line="360"/>
        <w:ind w:left="0" w:hanging="0"/>
        <w:jc w:val="left"/>
        <w:rPr>
          <w:rFonts w:ascii="Arial" w:hAnsi="Arial" w:cs="Arial"/>
          <w:sz w:val="20"/>
          <w:szCs w:val="20"/>
        </w:rPr>
      </w:pPr>
      <w:r>
        <w:rPr>
          <w:rFonts w:cs="Arial" w:ascii="Arial" w:hAnsi="Arial"/>
          <w:sz w:val="20"/>
          <w:szCs w:val="20"/>
        </w:rPr>
      </w:r>
    </w:p>
    <w:p>
      <w:pPr>
        <w:pStyle w:val="Titolo1"/>
        <w:spacing w:lineRule="auto" w:line="360"/>
        <w:ind w:left="40" w:hanging="0"/>
        <w:rPr>
          <w:rFonts w:ascii="Arial" w:hAnsi="Arial" w:cs="Arial"/>
          <w:sz w:val="20"/>
          <w:szCs w:val="20"/>
        </w:rPr>
      </w:pPr>
      <w:bookmarkStart w:id="27" w:name="_bookmark12"/>
      <w:bookmarkStart w:id="28" w:name="Art._11_Interventi_finanziati_attraverso"/>
      <w:bookmarkEnd w:id="27"/>
      <w:bookmarkEnd w:id="28"/>
      <w:r>
        <w:rPr>
          <w:rFonts w:cs="Arial" w:ascii="Arial" w:hAnsi="Arial"/>
          <w:sz w:val="20"/>
          <w:szCs w:val="20"/>
        </w:rPr>
        <w:t>Art.</w:t>
      </w:r>
      <w:r>
        <w:rPr>
          <w:rFonts w:cs="Arial" w:ascii="Arial" w:hAnsi="Arial"/>
          <w:spacing w:val="-5"/>
          <w:sz w:val="20"/>
          <w:szCs w:val="20"/>
        </w:rPr>
        <w:t xml:space="preserve"> </w:t>
      </w:r>
      <w:r>
        <w:rPr>
          <w:rFonts w:cs="Arial" w:ascii="Arial" w:hAnsi="Arial"/>
          <w:sz w:val="20"/>
          <w:szCs w:val="20"/>
        </w:rPr>
        <w:t>11</w:t>
      </w:r>
      <w:r>
        <w:rPr>
          <w:rFonts w:cs="Arial" w:ascii="Arial" w:hAnsi="Arial"/>
          <w:spacing w:val="-5"/>
          <w:sz w:val="20"/>
          <w:szCs w:val="20"/>
        </w:rPr>
        <w:t xml:space="preserve"> </w:t>
      </w:r>
      <w:r>
        <w:rPr>
          <w:rFonts w:cs="Arial" w:ascii="Arial" w:hAnsi="Arial"/>
          <w:sz w:val="20"/>
          <w:szCs w:val="20"/>
        </w:rPr>
        <w:t>Interventi</w:t>
      </w:r>
      <w:r>
        <w:rPr>
          <w:rFonts w:cs="Arial" w:ascii="Arial" w:hAnsi="Arial"/>
          <w:spacing w:val="-5"/>
          <w:sz w:val="20"/>
          <w:szCs w:val="20"/>
        </w:rPr>
        <w:t xml:space="preserve"> </w:t>
      </w:r>
      <w:r>
        <w:rPr>
          <w:rFonts w:cs="Arial" w:ascii="Arial" w:hAnsi="Arial"/>
          <w:sz w:val="20"/>
          <w:szCs w:val="20"/>
        </w:rPr>
        <w:t>finanziati</w:t>
      </w:r>
      <w:r>
        <w:rPr>
          <w:rFonts w:cs="Arial" w:ascii="Arial" w:hAnsi="Arial"/>
          <w:spacing w:val="-5"/>
          <w:sz w:val="20"/>
          <w:szCs w:val="20"/>
        </w:rPr>
        <w:t xml:space="preserve"> </w:t>
      </w:r>
      <w:r>
        <w:rPr>
          <w:rFonts w:cs="Arial" w:ascii="Arial" w:hAnsi="Arial"/>
          <w:sz w:val="20"/>
          <w:szCs w:val="20"/>
        </w:rPr>
        <w:t>attraverso</w:t>
      </w:r>
      <w:r>
        <w:rPr>
          <w:rFonts w:cs="Arial" w:ascii="Arial" w:hAnsi="Arial"/>
          <w:spacing w:val="-5"/>
          <w:sz w:val="20"/>
          <w:szCs w:val="20"/>
        </w:rPr>
        <w:t xml:space="preserve"> </w:t>
      </w:r>
      <w:r>
        <w:rPr>
          <w:rFonts w:cs="Arial" w:ascii="Arial" w:hAnsi="Arial"/>
          <w:sz w:val="20"/>
          <w:szCs w:val="20"/>
        </w:rPr>
        <w:t>il</w:t>
      </w:r>
      <w:r>
        <w:rPr>
          <w:rFonts w:cs="Arial" w:ascii="Arial" w:hAnsi="Arial"/>
          <w:spacing w:val="-5"/>
          <w:sz w:val="20"/>
          <w:szCs w:val="20"/>
        </w:rPr>
        <w:t xml:space="preserve"> </w:t>
      </w:r>
      <w:r>
        <w:rPr>
          <w:rFonts w:cs="Arial" w:ascii="Arial" w:hAnsi="Arial"/>
          <w:sz w:val="20"/>
          <w:szCs w:val="20"/>
        </w:rPr>
        <w:t>PNRR</w:t>
      </w:r>
      <w:r>
        <w:rPr>
          <w:rFonts w:cs="Arial" w:ascii="Arial" w:hAnsi="Arial"/>
          <w:spacing w:val="-4"/>
          <w:sz w:val="20"/>
          <w:szCs w:val="20"/>
        </w:rPr>
        <w:t xml:space="preserve"> </w:t>
      </w:r>
      <w:r>
        <w:rPr>
          <w:rFonts w:cs="Arial" w:ascii="Arial" w:hAnsi="Arial"/>
          <w:sz w:val="20"/>
          <w:szCs w:val="20"/>
        </w:rPr>
        <w:t>o</w:t>
      </w:r>
      <w:r>
        <w:rPr>
          <w:rFonts w:cs="Arial" w:ascii="Arial" w:hAnsi="Arial"/>
          <w:spacing w:val="-5"/>
          <w:sz w:val="20"/>
          <w:szCs w:val="20"/>
        </w:rPr>
        <w:t xml:space="preserve"> </w:t>
      </w:r>
      <w:r>
        <w:rPr>
          <w:rFonts w:cs="Arial" w:ascii="Arial" w:hAnsi="Arial"/>
          <w:sz w:val="20"/>
          <w:szCs w:val="20"/>
        </w:rPr>
        <w:t>il</w:t>
      </w:r>
      <w:r>
        <w:rPr>
          <w:rFonts w:cs="Arial" w:ascii="Arial" w:hAnsi="Arial"/>
          <w:spacing w:val="-4"/>
          <w:sz w:val="20"/>
          <w:szCs w:val="20"/>
        </w:rPr>
        <w:t xml:space="preserve"> </w:t>
      </w:r>
      <w:r>
        <w:rPr>
          <w:rFonts w:cs="Arial" w:ascii="Arial" w:hAnsi="Arial"/>
          <w:sz w:val="20"/>
          <w:szCs w:val="20"/>
        </w:rPr>
        <w:t>PNC</w:t>
      </w:r>
    </w:p>
    <w:p>
      <w:pPr>
        <w:pStyle w:val="Corpodeltesto"/>
        <w:spacing w:lineRule="auto" w:line="360"/>
        <w:ind w:left="0" w:hanging="0"/>
        <w:jc w:val="left"/>
        <w:rPr>
          <w:rFonts w:ascii="Arial" w:hAnsi="Arial" w:cs="Arial"/>
          <w:b/>
          <w:b/>
          <w:sz w:val="20"/>
          <w:szCs w:val="20"/>
        </w:rPr>
      </w:pPr>
      <w:r>
        <w:rPr>
          <w:rFonts w:cs="Arial" w:ascii="Arial" w:hAnsi="Arial"/>
          <w:b/>
          <w:sz w:val="20"/>
          <w:szCs w:val="20"/>
        </w:rPr>
      </w:r>
    </w:p>
    <w:p>
      <w:pPr>
        <w:pStyle w:val="ListParagraph"/>
        <w:spacing w:lineRule="auto" w:line="360"/>
        <w:ind w:left="572" w:right="142" w:hanging="0"/>
        <w:rPr>
          <w:rFonts w:ascii="Arial" w:hAnsi="Arial" w:cs="Arial"/>
          <w:sz w:val="20"/>
          <w:szCs w:val="20"/>
        </w:rPr>
      </w:pPr>
      <w:r>
        <w:rPr>
          <w:rFonts w:cs="Arial" w:ascii="Arial" w:hAnsi="Arial"/>
          <w:sz w:val="20"/>
          <w:szCs w:val="20"/>
        </w:rPr>
        <w:t>Per quanto riguarda gli investimenti pubblici finanziati, in tutto o in parte, con le</w:t>
      </w:r>
      <w:r>
        <w:rPr>
          <w:rFonts w:cs="Arial" w:ascii="Arial" w:hAnsi="Arial"/>
          <w:spacing w:val="1"/>
          <w:sz w:val="20"/>
          <w:szCs w:val="20"/>
        </w:rPr>
        <w:t xml:space="preserve"> </w:t>
      </w:r>
      <w:r>
        <w:rPr>
          <w:rFonts w:cs="Arial" w:ascii="Arial" w:hAnsi="Arial"/>
          <w:sz w:val="20"/>
          <w:szCs w:val="20"/>
        </w:rPr>
        <w:t>risorse</w:t>
      </w:r>
      <w:r>
        <w:rPr>
          <w:rFonts w:cs="Arial" w:ascii="Arial" w:hAnsi="Arial"/>
          <w:spacing w:val="1"/>
          <w:sz w:val="20"/>
          <w:szCs w:val="20"/>
        </w:rPr>
        <w:t xml:space="preserve"> </w:t>
      </w:r>
      <w:r>
        <w:rPr>
          <w:rFonts w:cs="Arial" w:ascii="Arial" w:hAnsi="Arial"/>
          <w:sz w:val="20"/>
          <w:szCs w:val="20"/>
        </w:rPr>
        <w:t>previste</w:t>
      </w:r>
      <w:r>
        <w:rPr>
          <w:rFonts w:cs="Arial" w:ascii="Arial" w:hAnsi="Arial"/>
          <w:spacing w:val="1"/>
          <w:sz w:val="20"/>
          <w:szCs w:val="20"/>
        </w:rPr>
        <w:t xml:space="preserve"> </w:t>
      </w:r>
      <w:r>
        <w:rPr>
          <w:rFonts w:cs="Arial" w:ascii="Arial" w:hAnsi="Arial"/>
          <w:sz w:val="20"/>
          <w:szCs w:val="20"/>
        </w:rPr>
        <w:t>dal</w:t>
      </w:r>
      <w:r>
        <w:rPr>
          <w:rFonts w:cs="Arial" w:ascii="Arial" w:hAnsi="Arial"/>
          <w:spacing w:val="1"/>
          <w:sz w:val="20"/>
          <w:szCs w:val="20"/>
        </w:rPr>
        <w:t xml:space="preserve"> </w:t>
      </w:r>
      <w:r>
        <w:rPr>
          <w:rFonts w:cs="Arial" w:ascii="Arial" w:hAnsi="Arial"/>
          <w:sz w:val="20"/>
          <w:szCs w:val="20"/>
        </w:rPr>
        <w:t>PNRR,</w:t>
      </w:r>
      <w:r>
        <w:rPr>
          <w:rFonts w:cs="Arial" w:ascii="Arial" w:hAnsi="Arial"/>
          <w:spacing w:val="1"/>
          <w:sz w:val="20"/>
          <w:szCs w:val="20"/>
        </w:rPr>
        <w:t xml:space="preserve"> </w:t>
      </w:r>
      <w:r>
        <w:rPr>
          <w:rFonts w:cs="Arial" w:ascii="Arial" w:hAnsi="Arial"/>
          <w:sz w:val="20"/>
          <w:szCs w:val="20"/>
        </w:rPr>
        <w:t>nonché</w:t>
      </w:r>
      <w:r>
        <w:rPr>
          <w:rFonts w:cs="Arial" w:ascii="Arial" w:hAnsi="Arial"/>
          <w:spacing w:val="1"/>
          <w:sz w:val="20"/>
          <w:szCs w:val="20"/>
        </w:rPr>
        <w:t xml:space="preserve"> </w:t>
      </w:r>
      <w:r>
        <w:rPr>
          <w:rFonts w:cs="Arial" w:ascii="Arial" w:hAnsi="Arial"/>
          <w:sz w:val="20"/>
          <w:szCs w:val="20"/>
        </w:rPr>
        <w:t>dalle</w:t>
      </w:r>
      <w:r>
        <w:rPr>
          <w:rFonts w:cs="Arial" w:ascii="Arial" w:hAnsi="Arial"/>
          <w:spacing w:val="1"/>
          <w:sz w:val="20"/>
          <w:szCs w:val="20"/>
        </w:rPr>
        <w:t xml:space="preserve"> </w:t>
      </w:r>
      <w:r>
        <w:rPr>
          <w:rFonts w:cs="Arial" w:ascii="Arial" w:hAnsi="Arial"/>
          <w:sz w:val="20"/>
          <w:szCs w:val="20"/>
        </w:rPr>
        <w:t>risorse</w:t>
      </w:r>
      <w:r>
        <w:rPr>
          <w:rFonts w:cs="Arial" w:ascii="Arial" w:hAnsi="Arial"/>
          <w:spacing w:val="1"/>
          <w:sz w:val="20"/>
          <w:szCs w:val="20"/>
        </w:rPr>
        <w:t xml:space="preserve"> </w:t>
      </w:r>
      <w:r>
        <w:rPr>
          <w:rFonts w:cs="Arial" w:ascii="Arial" w:hAnsi="Arial"/>
          <w:sz w:val="20"/>
          <w:szCs w:val="20"/>
        </w:rPr>
        <w:t>del</w:t>
      </w:r>
      <w:r>
        <w:rPr>
          <w:rFonts w:cs="Arial" w:ascii="Arial" w:hAnsi="Arial"/>
          <w:spacing w:val="1"/>
          <w:sz w:val="20"/>
          <w:szCs w:val="20"/>
        </w:rPr>
        <w:t xml:space="preserve"> </w:t>
      </w:r>
      <w:r>
        <w:rPr>
          <w:rFonts w:cs="Arial" w:ascii="Arial" w:hAnsi="Arial"/>
          <w:sz w:val="20"/>
          <w:szCs w:val="20"/>
        </w:rPr>
        <w:t>Piano</w:t>
      </w:r>
      <w:r>
        <w:rPr>
          <w:rFonts w:cs="Arial" w:ascii="Arial" w:hAnsi="Arial"/>
          <w:spacing w:val="1"/>
          <w:sz w:val="20"/>
          <w:szCs w:val="20"/>
        </w:rPr>
        <w:t xml:space="preserve"> </w:t>
      </w:r>
      <w:r>
        <w:rPr>
          <w:rFonts w:cs="Arial" w:ascii="Arial" w:hAnsi="Arial"/>
          <w:sz w:val="20"/>
          <w:szCs w:val="20"/>
        </w:rPr>
        <w:t>nazionale</w:t>
      </w:r>
      <w:r>
        <w:rPr>
          <w:rFonts w:cs="Arial" w:ascii="Arial" w:hAnsi="Arial"/>
          <w:spacing w:val="1"/>
          <w:sz w:val="20"/>
          <w:szCs w:val="20"/>
        </w:rPr>
        <w:t xml:space="preserve"> </w:t>
      </w:r>
      <w:r>
        <w:rPr>
          <w:rFonts w:cs="Arial" w:ascii="Arial" w:hAnsi="Arial"/>
          <w:sz w:val="20"/>
          <w:szCs w:val="20"/>
        </w:rPr>
        <w:t>per</w:t>
      </w:r>
      <w:r>
        <w:rPr>
          <w:rFonts w:cs="Arial" w:ascii="Arial" w:hAnsi="Arial"/>
          <w:spacing w:val="1"/>
          <w:sz w:val="20"/>
          <w:szCs w:val="20"/>
        </w:rPr>
        <w:t xml:space="preserve"> </w:t>
      </w:r>
      <w:r>
        <w:rPr>
          <w:rFonts w:cs="Arial" w:ascii="Arial" w:hAnsi="Arial"/>
          <w:sz w:val="20"/>
          <w:szCs w:val="20"/>
        </w:rPr>
        <w:t>gli</w:t>
      </w:r>
      <w:r>
        <w:rPr>
          <w:rFonts w:cs="Arial" w:ascii="Arial" w:hAnsi="Arial"/>
          <w:spacing w:val="1"/>
          <w:sz w:val="20"/>
          <w:szCs w:val="20"/>
        </w:rPr>
        <w:t xml:space="preserve"> </w:t>
      </w:r>
      <w:r>
        <w:rPr>
          <w:rFonts w:cs="Arial" w:ascii="Arial" w:hAnsi="Arial"/>
          <w:sz w:val="20"/>
          <w:szCs w:val="20"/>
        </w:rPr>
        <w:t>investimenti</w:t>
      </w:r>
      <w:r>
        <w:rPr>
          <w:rFonts w:cs="Arial" w:ascii="Arial" w:hAnsi="Arial"/>
          <w:spacing w:val="-2"/>
          <w:sz w:val="20"/>
          <w:szCs w:val="20"/>
        </w:rPr>
        <w:t xml:space="preserve"> </w:t>
      </w:r>
      <w:r>
        <w:rPr>
          <w:rFonts w:cs="Arial" w:ascii="Arial" w:hAnsi="Arial"/>
          <w:sz w:val="20"/>
          <w:szCs w:val="20"/>
        </w:rPr>
        <w:t>complementari</w:t>
      </w:r>
      <w:r>
        <w:rPr>
          <w:rFonts w:cs="Arial" w:ascii="Arial" w:hAnsi="Arial"/>
          <w:spacing w:val="-1"/>
          <w:sz w:val="20"/>
          <w:szCs w:val="20"/>
        </w:rPr>
        <w:t xml:space="preserve"> </w:t>
      </w:r>
      <w:r>
        <w:rPr>
          <w:rFonts w:cs="Arial" w:ascii="Arial" w:hAnsi="Arial"/>
          <w:sz w:val="20"/>
          <w:szCs w:val="20"/>
        </w:rPr>
        <w:t>(PNC),</w:t>
      </w:r>
      <w:r>
        <w:rPr>
          <w:rFonts w:cs="Arial" w:ascii="Arial" w:hAnsi="Arial"/>
          <w:spacing w:val="-2"/>
          <w:sz w:val="20"/>
          <w:szCs w:val="20"/>
        </w:rPr>
        <w:t xml:space="preserve"> </w:t>
      </w:r>
      <w:r>
        <w:rPr>
          <w:rFonts w:cs="Arial" w:ascii="Arial" w:hAnsi="Arial"/>
          <w:sz w:val="20"/>
          <w:szCs w:val="20"/>
        </w:rPr>
        <w:t>si</w:t>
      </w:r>
      <w:r>
        <w:rPr>
          <w:rFonts w:cs="Arial" w:ascii="Arial" w:hAnsi="Arial"/>
          <w:spacing w:val="1"/>
          <w:sz w:val="20"/>
          <w:szCs w:val="20"/>
        </w:rPr>
        <w:t xml:space="preserve"> </w:t>
      </w:r>
      <w:r>
        <w:rPr>
          <w:rFonts w:cs="Arial" w:ascii="Arial" w:hAnsi="Arial"/>
          <w:sz w:val="20"/>
          <w:szCs w:val="20"/>
        </w:rPr>
        <w:t>osservano</w:t>
      </w:r>
      <w:r>
        <w:rPr>
          <w:rFonts w:cs="Arial" w:ascii="Arial" w:hAnsi="Arial"/>
          <w:spacing w:val="-2"/>
          <w:sz w:val="20"/>
          <w:szCs w:val="20"/>
        </w:rPr>
        <w:t xml:space="preserve"> </w:t>
      </w:r>
      <w:r>
        <w:rPr>
          <w:rFonts w:cs="Arial" w:ascii="Arial" w:hAnsi="Arial"/>
          <w:sz w:val="20"/>
          <w:szCs w:val="20"/>
        </w:rPr>
        <w:t>queste disposizioni</w:t>
      </w:r>
      <w:r>
        <w:rPr>
          <w:rFonts w:cs="Arial" w:ascii="Arial" w:hAnsi="Arial"/>
          <w:spacing w:val="-1"/>
          <w:sz w:val="20"/>
          <w:szCs w:val="20"/>
        </w:rPr>
        <w:t xml:space="preserve"> </w:t>
      </w:r>
      <w:r>
        <w:rPr>
          <w:rFonts w:cs="Arial" w:ascii="Arial" w:hAnsi="Arial"/>
          <w:sz w:val="20"/>
          <w:szCs w:val="20"/>
        </w:rPr>
        <w:t>aggiuntive:</w:t>
      </w:r>
    </w:p>
    <w:p>
      <w:pPr>
        <w:pStyle w:val="ListParagraph"/>
        <w:numPr>
          <w:ilvl w:val="0"/>
          <w:numId w:val="7"/>
        </w:numPr>
        <w:tabs>
          <w:tab w:val="clear" w:pos="720"/>
          <w:tab w:val="left" w:pos="326" w:leader="none"/>
        </w:tabs>
        <w:spacing w:lineRule="auto" w:line="360"/>
        <w:rPr>
          <w:rFonts w:ascii="Arial" w:hAnsi="Arial" w:cs="Arial"/>
          <w:sz w:val="20"/>
          <w:szCs w:val="20"/>
        </w:rPr>
      </w:pPr>
      <w:r>
        <w:rPr>
          <w:rFonts w:cs="Arial" w:ascii="Arial" w:hAnsi="Arial"/>
          <w:sz w:val="20"/>
          <w:szCs w:val="20"/>
        </w:rPr>
        <w:t>è responsabilità dell’Ente aderente comunicare alla S.U.A. se un determinato intervento sia finanziato in tutto o in parte con le suddette risorse e condividere con la S.U.A. i documenti di finanziamento, nonché i dati e le informazioni necessarie per assicurare che le procedure siano progettate e svolte in conformità a quanto richiesto dalla normativa rilevante e dalle condizioni di finanziamento;</w:t>
      </w:r>
    </w:p>
    <w:p>
      <w:pPr>
        <w:pStyle w:val="ListParagraph"/>
        <w:numPr>
          <w:ilvl w:val="0"/>
          <w:numId w:val="7"/>
        </w:numPr>
        <w:tabs>
          <w:tab w:val="clear" w:pos="720"/>
          <w:tab w:val="left" w:pos="350" w:leader="none"/>
        </w:tabs>
        <w:spacing w:lineRule="auto" w:line="360"/>
        <w:rPr>
          <w:rFonts w:ascii="Arial" w:hAnsi="Arial" w:cs="Arial"/>
          <w:sz w:val="20"/>
          <w:szCs w:val="20"/>
        </w:rPr>
      </w:pPr>
      <w:r>
        <w:rPr>
          <w:rFonts w:cs="Arial" w:ascii="Arial" w:hAnsi="Arial"/>
          <w:sz w:val="20"/>
          <w:szCs w:val="20"/>
        </w:rPr>
        <w:t>la S.U.A. tiene conto delle tempistiche stabilite dai finanziamenti nella definizione del Calendario degli affidamenti e nello svolgimento delle procedure, al fine di assicurare il rispetto delle scadenze rilevanti;</w:t>
      </w:r>
    </w:p>
    <w:p>
      <w:pPr>
        <w:pStyle w:val="ListParagraph"/>
        <w:numPr>
          <w:ilvl w:val="0"/>
          <w:numId w:val="7"/>
        </w:numPr>
        <w:tabs>
          <w:tab w:val="clear" w:pos="720"/>
          <w:tab w:val="left" w:pos="322" w:leader="none"/>
        </w:tabs>
        <w:spacing w:lineRule="auto" w:line="360"/>
        <w:rPr>
          <w:rFonts w:ascii="Arial" w:hAnsi="Arial" w:cs="Arial"/>
          <w:sz w:val="20"/>
          <w:szCs w:val="20"/>
        </w:rPr>
      </w:pPr>
      <w:r>
        <w:rPr>
          <w:rFonts w:cs="Arial" w:ascii="Arial" w:hAnsi="Arial"/>
          <w:sz w:val="20"/>
          <w:szCs w:val="20"/>
        </w:rPr>
        <w:t>nella definizione degli atti di gara la S.U.A. e l’Ente aderente, ciascuno per le proprie competenze, garantiscono la conformità degli atti di gara ai requisiti normativi rilevanti, tra cui in particolare l’inserimento dei criteri premiali indicati dal legislatore per la promozione delle pari opportunità e dell‘inclusione lavorativa nei contratti pubblici di cui agli artt. 47 e segg. del Decreto Legge 31 maggio 2021, n. 77 coordinato con la Legge di conversione 29 luglio 2021, n. 108, nonché il premio di accelerazione e le penali per i ritardi previsti rispettivamente dall’art. 50 e dell’art. 47 del D.L. 77/2021;</w:t>
      </w:r>
    </w:p>
    <w:p>
      <w:pPr>
        <w:pStyle w:val="ListParagraph"/>
        <w:numPr>
          <w:ilvl w:val="0"/>
          <w:numId w:val="7"/>
        </w:numPr>
        <w:tabs>
          <w:tab w:val="clear" w:pos="720"/>
          <w:tab w:val="left" w:pos="324" w:leader="none"/>
        </w:tabs>
        <w:spacing w:lineRule="auto" w:line="360"/>
        <w:rPr>
          <w:rFonts w:ascii="Arial" w:hAnsi="Arial" w:cs="Arial"/>
          <w:sz w:val="20"/>
          <w:szCs w:val="20"/>
        </w:rPr>
      </w:pPr>
      <w:r>
        <w:rPr>
          <w:rFonts w:cs="Arial" w:ascii="Arial" w:hAnsi="Arial"/>
          <w:sz w:val="20"/>
          <w:szCs w:val="20"/>
        </w:rPr>
        <w:t>all’atto di approvazione degli atti di gara, l’Ente aderente verifica la conformità degli stessi rispetto alle condizioni di finanziamento;</w:t>
      </w:r>
    </w:p>
    <w:p>
      <w:pPr>
        <w:pStyle w:val="ListParagraph"/>
        <w:numPr>
          <w:ilvl w:val="0"/>
          <w:numId w:val="7"/>
        </w:numPr>
        <w:tabs>
          <w:tab w:val="clear" w:pos="720"/>
          <w:tab w:val="left" w:pos="330" w:leader="none"/>
        </w:tabs>
        <w:spacing w:lineRule="auto" w:line="360"/>
        <w:rPr>
          <w:rFonts w:ascii="Arial" w:hAnsi="Arial" w:cs="Arial"/>
          <w:sz w:val="20"/>
          <w:szCs w:val="20"/>
        </w:rPr>
      </w:pPr>
      <w:r>
        <w:rPr>
          <w:rFonts w:cs="Arial" w:ascii="Arial" w:hAnsi="Arial"/>
          <w:sz w:val="20"/>
          <w:szCs w:val="20"/>
        </w:rPr>
        <w:t>la S.U.A. nomina il RUP che svolge le funzioni di cui all’art. 48, comma 2 del D.L. 77/2021 e, in caso di sua inerzia, assicura che sia esercitato il potere sostitutivo di cui all’art. 50, comma 2 del D.L. 77/2021;</w:t>
      </w:r>
    </w:p>
    <w:p>
      <w:pPr>
        <w:pStyle w:val="ListParagraph"/>
        <w:numPr>
          <w:ilvl w:val="0"/>
          <w:numId w:val="7"/>
        </w:numPr>
        <w:tabs>
          <w:tab w:val="clear" w:pos="720"/>
          <w:tab w:val="left" w:pos="336" w:leader="none"/>
        </w:tabs>
        <w:spacing w:lineRule="auto" w:line="360"/>
        <w:rPr>
          <w:rFonts w:ascii="Arial" w:hAnsi="Arial" w:cs="Arial"/>
          <w:sz w:val="20"/>
          <w:szCs w:val="20"/>
        </w:rPr>
      </w:pPr>
      <w:r>
        <w:rPr>
          <w:rFonts w:cs="Arial" w:ascii="Arial" w:hAnsi="Arial"/>
          <w:sz w:val="20"/>
          <w:szCs w:val="20"/>
        </w:rPr>
        <w:t>l’Ente aderente convoca la conferenza di servizi di cui all’art. 14 della L. 241/1990, nei casi in cui sia richiesta per l’approvazione del Progetto da porre e base di gara;</w:t>
      </w:r>
    </w:p>
    <w:p>
      <w:pPr>
        <w:pStyle w:val="ListParagraph"/>
        <w:numPr>
          <w:ilvl w:val="0"/>
          <w:numId w:val="7"/>
        </w:numPr>
        <w:tabs>
          <w:tab w:val="clear" w:pos="720"/>
          <w:tab w:val="left" w:pos="324" w:leader="none"/>
        </w:tabs>
        <w:spacing w:lineRule="auto" w:line="360"/>
        <w:rPr>
          <w:rFonts w:ascii="Arial" w:hAnsi="Arial" w:cs="Arial"/>
          <w:sz w:val="20"/>
          <w:szCs w:val="20"/>
        </w:rPr>
      </w:pPr>
      <w:r>
        <w:rPr>
          <w:rFonts w:cs="Arial" w:ascii="Arial" w:hAnsi="Arial"/>
          <w:sz w:val="20"/>
          <w:szCs w:val="20"/>
        </w:rPr>
        <w:t>in caso di svolgimento di procedure negoziate di cui all’art. 76 del Codice appalti nei casi previsti dall’art. 48 del D.L. 77/2021, l’avviso di cui all’art. 48 comma 3 è pubblicato anche dall’Ente aderente sul proprio sito istituzionale.</w:t>
      </w:r>
    </w:p>
    <w:p>
      <w:pPr>
        <w:pStyle w:val="Corpodeltesto"/>
        <w:spacing w:lineRule="auto" w:line="360"/>
        <w:ind w:left="0" w:hanging="0"/>
        <w:jc w:val="left"/>
        <w:rPr>
          <w:rFonts w:ascii="Arial" w:hAnsi="Arial" w:cs="Arial"/>
          <w:sz w:val="20"/>
          <w:szCs w:val="20"/>
        </w:rPr>
      </w:pPr>
      <w:r>
        <w:rPr>
          <w:rFonts w:cs="Arial" w:ascii="Arial" w:hAnsi="Arial"/>
          <w:sz w:val="20"/>
          <w:szCs w:val="20"/>
        </w:rPr>
      </w:r>
    </w:p>
    <w:p>
      <w:pPr>
        <w:pStyle w:val="Titolo1"/>
        <w:spacing w:lineRule="auto" w:line="360"/>
        <w:ind w:left="42" w:hanging="0"/>
        <w:rPr>
          <w:rFonts w:ascii="Arial" w:hAnsi="Arial" w:cs="Arial"/>
          <w:sz w:val="20"/>
          <w:szCs w:val="20"/>
        </w:rPr>
      </w:pPr>
      <w:bookmarkStart w:id="29" w:name="_bookmark13"/>
      <w:bookmarkStart w:id="30" w:name="Art._12_Spese_di_funzionamento_e_rapport"/>
      <w:bookmarkEnd w:id="29"/>
      <w:bookmarkEnd w:id="30"/>
      <w:r>
        <w:rPr>
          <w:rFonts w:cs="Arial" w:ascii="Arial" w:hAnsi="Arial"/>
          <w:sz w:val="20"/>
          <w:szCs w:val="20"/>
        </w:rPr>
        <w:t>Art.</w:t>
      </w:r>
      <w:r>
        <w:rPr>
          <w:rFonts w:cs="Arial" w:ascii="Arial" w:hAnsi="Arial"/>
          <w:spacing w:val="-4"/>
          <w:sz w:val="20"/>
          <w:szCs w:val="20"/>
        </w:rPr>
        <w:t xml:space="preserve"> </w:t>
      </w:r>
      <w:r>
        <w:rPr>
          <w:rFonts w:cs="Arial" w:ascii="Arial" w:hAnsi="Arial"/>
          <w:sz w:val="20"/>
          <w:szCs w:val="20"/>
        </w:rPr>
        <w:t>12</w:t>
      </w:r>
      <w:r>
        <w:rPr>
          <w:rFonts w:cs="Arial" w:ascii="Arial" w:hAnsi="Arial"/>
          <w:spacing w:val="-4"/>
          <w:sz w:val="20"/>
          <w:szCs w:val="20"/>
        </w:rPr>
        <w:t xml:space="preserve"> </w:t>
      </w:r>
      <w:r>
        <w:rPr>
          <w:rFonts w:cs="Arial" w:ascii="Arial" w:hAnsi="Arial"/>
          <w:sz w:val="20"/>
          <w:szCs w:val="20"/>
        </w:rPr>
        <w:t>Spese</w:t>
      </w:r>
      <w:r>
        <w:rPr>
          <w:rFonts w:cs="Arial" w:ascii="Arial" w:hAnsi="Arial"/>
          <w:spacing w:val="-5"/>
          <w:sz w:val="20"/>
          <w:szCs w:val="20"/>
        </w:rPr>
        <w:t xml:space="preserve"> </w:t>
      </w:r>
      <w:r>
        <w:rPr>
          <w:rFonts w:cs="Arial" w:ascii="Arial" w:hAnsi="Arial"/>
          <w:sz w:val="20"/>
          <w:szCs w:val="20"/>
        </w:rPr>
        <w:t>di</w:t>
      </w:r>
      <w:r>
        <w:rPr>
          <w:rFonts w:cs="Arial" w:ascii="Arial" w:hAnsi="Arial"/>
          <w:spacing w:val="-4"/>
          <w:sz w:val="20"/>
          <w:szCs w:val="20"/>
        </w:rPr>
        <w:t xml:space="preserve"> </w:t>
      </w:r>
      <w:r>
        <w:rPr>
          <w:rFonts w:cs="Arial" w:ascii="Arial" w:hAnsi="Arial"/>
          <w:sz w:val="20"/>
          <w:szCs w:val="20"/>
        </w:rPr>
        <w:t>funzionamento</w:t>
      </w:r>
      <w:r>
        <w:rPr>
          <w:rFonts w:cs="Arial" w:ascii="Arial" w:hAnsi="Arial"/>
          <w:spacing w:val="-4"/>
          <w:sz w:val="20"/>
          <w:szCs w:val="20"/>
        </w:rPr>
        <w:t xml:space="preserve"> </w:t>
      </w:r>
      <w:r>
        <w:rPr>
          <w:rFonts w:cs="Arial" w:ascii="Arial" w:hAnsi="Arial"/>
          <w:sz w:val="20"/>
          <w:szCs w:val="20"/>
        </w:rPr>
        <w:t>e</w:t>
      </w:r>
      <w:r>
        <w:rPr>
          <w:rFonts w:cs="Arial" w:ascii="Arial" w:hAnsi="Arial"/>
          <w:spacing w:val="-5"/>
          <w:sz w:val="20"/>
          <w:szCs w:val="20"/>
        </w:rPr>
        <w:t xml:space="preserve"> </w:t>
      </w:r>
      <w:r>
        <w:rPr>
          <w:rFonts w:cs="Arial" w:ascii="Arial" w:hAnsi="Arial"/>
          <w:sz w:val="20"/>
          <w:szCs w:val="20"/>
        </w:rPr>
        <w:t>rapporti</w:t>
      </w:r>
      <w:r>
        <w:rPr>
          <w:rFonts w:cs="Arial" w:ascii="Arial" w:hAnsi="Arial"/>
          <w:spacing w:val="-3"/>
          <w:sz w:val="20"/>
          <w:szCs w:val="20"/>
        </w:rPr>
        <w:t xml:space="preserve"> </w:t>
      </w:r>
      <w:r>
        <w:rPr>
          <w:rFonts w:cs="Arial" w:ascii="Arial" w:hAnsi="Arial"/>
          <w:sz w:val="20"/>
          <w:szCs w:val="20"/>
        </w:rPr>
        <w:t>finanziari</w:t>
      </w:r>
    </w:p>
    <w:p>
      <w:pPr>
        <w:pStyle w:val="ListParagraph"/>
        <w:numPr>
          <w:ilvl w:val="0"/>
          <w:numId w:val="12"/>
        </w:numPr>
        <w:spacing w:lineRule="auto" w:line="360"/>
        <w:ind w:left="572" w:right="142" w:hanging="360"/>
        <w:rPr>
          <w:rFonts w:ascii="Arial" w:hAnsi="Arial" w:cs="Arial"/>
          <w:sz w:val="20"/>
          <w:szCs w:val="20"/>
        </w:rPr>
      </w:pPr>
      <w:r>
        <w:rPr>
          <w:rFonts w:cs="Arial" w:ascii="Arial" w:hAnsi="Arial"/>
          <w:sz w:val="20"/>
          <w:szCs w:val="20"/>
        </w:rPr>
        <w:t>Le risorse finanziarie per la gestione associata delle funzioni previste nella presente convenzione, anche per singole procedure di gara e in caso di supporto, sono sostenute con la partecipazione degli Enti Aderenti, come precisato nei commi seguenti.</w:t>
      </w:r>
    </w:p>
    <w:p>
      <w:pPr>
        <w:pStyle w:val="ListParagraph"/>
        <w:numPr>
          <w:ilvl w:val="0"/>
          <w:numId w:val="12"/>
        </w:numPr>
        <w:spacing w:lineRule="auto" w:line="360"/>
        <w:ind w:left="572" w:right="142" w:hanging="360"/>
        <w:rPr>
          <w:rFonts w:ascii="Arial" w:hAnsi="Arial" w:cs="Arial"/>
          <w:sz w:val="20"/>
          <w:szCs w:val="20"/>
        </w:rPr>
      </w:pPr>
      <w:r>
        <w:rPr>
          <w:rFonts w:cs="Arial" w:ascii="Arial" w:hAnsi="Arial"/>
          <w:sz w:val="20"/>
          <w:szCs w:val="20"/>
        </w:rPr>
        <w:t>L’Ente aderente riconosce che sono dovuti gli incentivi per le funzioni tecniche di cui alla vigente normativa nella misura del 25% di quanto previsto dall’art. 45, comma 2, del D. Lgs. 36/2023 (che include la quota del 20% del comma 5), come statuito dal comma 8 del medesimo articolo.</w:t>
      </w:r>
    </w:p>
    <w:p>
      <w:pPr>
        <w:pStyle w:val="ListParagraph"/>
        <w:numPr>
          <w:ilvl w:val="0"/>
          <w:numId w:val="12"/>
        </w:numPr>
        <w:spacing w:lineRule="auto" w:line="360"/>
        <w:ind w:left="572" w:right="142" w:hanging="360"/>
        <w:rPr>
          <w:rFonts w:ascii="Arial" w:hAnsi="Arial" w:cs="Arial"/>
          <w:sz w:val="20"/>
          <w:szCs w:val="20"/>
        </w:rPr>
      </w:pPr>
      <w:r>
        <w:rPr>
          <w:rFonts w:cs="Arial" w:ascii="Arial" w:hAnsi="Arial"/>
          <w:sz w:val="20"/>
          <w:szCs w:val="20"/>
        </w:rPr>
        <w:t>La ripartizione di tali incentivi sarà regolata con atto interno della S.U.A. e, se necessario, l’Ente Aderente adegua il proprio regolamento interno a quanto ivi previsto.</w:t>
      </w:r>
    </w:p>
    <w:p>
      <w:pPr>
        <w:pStyle w:val="ListParagraph"/>
        <w:numPr>
          <w:ilvl w:val="0"/>
          <w:numId w:val="12"/>
        </w:numPr>
        <w:spacing w:lineRule="auto" w:line="360"/>
        <w:ind w:left="572" w:right="142" w:hanging="360"/>
        <w:rPr>
          <w:rFonts w:ascii="Arial" w:hAnsi="Arial" w:cs="Arial"/>
          <w:sz w:val="20"/>
          <w:szCs w:val="20"/>
        </w:rPr>
      </w:pPr>
      <w:r>
        <w:rPr>
          <w:rFonts w:cs="Arial" w:ascii="Arial" w:hAnsi="Arial"/>
          <w:sz w:val="20"/>
          <w:szCs w:val="20"/>
        </w:rPr>
        <w:t>Le somme assegnate alla S.U.A. da parte di ciascun Ente Aderente saranno individuate preventivamente nei quadri economici di progetto alla voce “Incentivi ex art 45, comma 8, D. Lgs. 36/2023 per i compiti svolti dalla S.U.A.” e liquidate alla stessa entro 60 giorni naturali e consecutivi dall'aggiudicazione della procedura su formale richiesta della SUA stessa.</w:t>
      </w:r>
    </w:p>
    <w:p>
      <w:pPr>
        <w:pStyle w:val="ListParagraph"/>
        <w:numPr>
          <w:ilvl w:val="0"/>
          <w:numId w:val="12"/>
        </w:numPr>
        <w:spacing w:lineRule="auto" w:line="360"/>
        <w:ind w:left="572" w:right="142" w:hanging="360"/>
        <w:rPr>
          <w:rFonts w:ascii="Arial" w:hAnsi="Arial" w:cs="Arial"/>
          <w:sz w:val="20"/>
          <w:szCs w:val="20"/>
        </w:rPr>
      </w:pPr>
      <w:r>
        <w:rPr>
          <w:rFonts w:cs="Arial" w:ascii="Arial" w:hAnsi="Arial"/>
          <w:sz w:val="20"/>
          <w:szCs w:val="20"/>
        </w:rPr>
        <w:t>Fermo restando quanto previsto al comma 2, ciascun Ente Aderente partecipa alle spese sopportate dalla medesima per il funzionamento della S.U.A. anche in base a:</w:t>
      </w:r>
    </w:p>
    <w:p>
      <w:pPr>
        <w:pStyle w:val="ListParagraph"/>
        <w:numPr>
          <w:ilvl w:val="0"/>
          <w:numId w:val="12"/>
        </w:numPr>
        <w:spacing w:lineRule="auto" w:line="360"/>
        <w:ind w:left="572" w:right="142" w:hanging="360"/>
        <w:rPr>
          <w:rFonts w:ascii="Arial" w:hAnsi="Arial" w:cs="Arial"/>
          <w:sz w:val="20"/>
          <w:szCs w:val="20"/>
        </w:rPr>
      </w:pPr>
      <w:r>
        <w:rPr>
          <w:rFonts w:cs="Arial" w:ascii="Arial" w:hAnsi="Arial"/>
          <w:sz w:val="20"/>
          <w:szCs w:val="20"/>
        </w:rPr>
        <w:t>a) una “quota variabile” pari allo 0,15% dell’importo complessivo di ciascuna procedura da affidare con il criterio del PPB e pari allo 0,3% dell’importo complessivo di ciascuna procedura da affidare con il criterio dell’OEPV, con una tariffa minima di euro 1.000 in caso di PPB e di euro 1.500 in caso di OEPV ed una tariffa massima di euro 5.000.</w:t>
      </w:r>
    </w:p>
    <w:p>
      <w:pPr>
        <w:pStyle w:val="ListParagraph"/>
        <w:numPr>
          <w:ilvl w:val="0"/>
          <w:numId w:val="12"/>
        </w:numPr>
        <w:spacing w:lineRule="auto" w:line="360"/>
        <w:ind w:left="572" w:right="142" w:hanging="360"/>
        <w:rPr>
          <w:rFonts w:ascii="Arial" w:hAnsi="Arial" w:cs="Arial"/>
          <w:sz w:val="20"/>
          <w:szCs w:val="20"/>
        </w:rPr>
      </w:pPr>
      <w:r>
        <w:rPr>
          <w:rFonts w:cs="Arial" w:ascii="Arial" w:hAnsi="Arial"/>
          <w:sz w:val="20"/>
          <w:szCs w:val="20"/>
        </w:rPr>
        <w:t>Gli Enti aderenti per una singola procedura di gara, anche su assegnazione disposta da ANAC, sono tenuti, restando fermo quanto previsto al comma 2, al versamento della predetta quota variabile.</w:t>
      </w:r>
    </w:p>
    <w:p>
      <w:pPr>
        <w:pStyle w:val="ListParagraph"/>
        <w:numPr>
          <w:ilvl w:val="0"/>
          <w:numId w:val="12"/>
        </w:numPr>
        <w:spacing w:lineRule="auto" w:line="360"/>
        <w:ind w:left="572" w:right="142" w:hanging="360"/>
        <w:rPr>
          <w:rFonts w:ascii="Arial" w:hAnsi="Arial" w:cs="Arial"/>
          <w:sz w:val="20"/>
          <w:szCs w:val="20"/>
        </w:rPr>
      </w:pPr>
      <w:r>
        <w:rPr>
          <w:rFonts w:cs="Arial" w:ascii="Arial" w:hAnsi="Arial"/>
          <w:sz w:val="20"/>
          <w:szCs w:val="20"/>
        </w:rPr>
        <w:t>Gli importi di cui al comma 5 corrispondono forfettariamente a tutte le spese per l’affidamento del contratto, comprese quelle per l’eventuale utilizzo di sale riunioni, apparecchiature informatiche hardware e software, materiale di cancelleria, spese di spedizione, spese per il personale.</w:t>
      </w:r>
    </w:p>
    <w:p>
      <w:pPr>
        <w:pStyle w:val="ListParagraph"/>
        <w:numPr>
          <w:ilvl w:val="0"/>
          <w:numId w:val="12"/>
        </w:numPr>
        <w:spacing w:lineRule="auto" w:line="360"/>
        <w:ind w:left="572" w:right="142" w:hanging="360"/>
        <w:rPr>
          <w:rFonts w:ascii="Arial" w:hAnsi="Arial" w:cs="Arial"/>
          <w:sz w:val="20"/>
          <w:szCs w:val="20"/>
        </w:rPr>
      </w:pPr>
      <w:r>
        <w:rPr>
          <w:rFonts w:cs="Arial" w:ascii="Arial" w:hAnsi="Arial"/>
          <w:sz w:val="20"/>
          <w:szCs w:val="20"/>
        </w:rPr>
        <w:t>Non sono ricomprese tra le somme di cui al precedente comma 5 e, pertanto, rimangono a carico dell’Ente Aderente:</w:t>
      </w:r>
    </w:p>
    <w:p>
      <w:pPr>
        <w:pStyle w:val="ListParagraph"/>
        <w:numPr>
          <w:ilvl w:val="0"/>
          <w:numId w:val="12"/>
        </w:numPr>
        <w:spacing w:lineRule="auto" w:line="360"/>
        <w:ind w:left="572" w:right="142" w:hanging="360"/>
        <w:rPr>
          <w:rFonts w:ascii="Arial" w:hAnsi="Arial" w:cs="Arial"/>
          <w:sz w:val="20"/>
          <w:szCs w:val="20"/>
        </w:rPr>
      </w:pPr>
      <w:r>
        <w:rPr>
          <w:rFonts w:cs="Arial" w:ascii="Arial" w:hAnsi="Arial"/>
          <w:sz w:val="20"/>
          <w:szCs w:val="20"/>
        </w:rPr>
        <w:t>le spese relative alla pubblicazione degli avvisi o bandi di gara e dei relativi esiti e il contributo ANAC, che, se anticipate dalla S.U.A. (come nel caso di procedura aggregata o a lotti), dovranno essere rimborsate entro 20 giorni naturali e consecutivi dalla richiesta della stessa;</w:t>
      </w:r>
    </w:p>
    <w:p>
      <w:pPr>
        <w:pStyle w:val="ListParagraph"/>
        <w:numPr>
          <w:ilvl w:val="0"/>
          <w:numId w:val="12"/>
        </w:numPr>
        <w:spacing w:lineRule="auto" w:line="360"/>
        <w:ind w:left="572" w:right="142" w:hanging="360"/>
        <w:rPr>
          <w:rFonts w:ascii="Arial" w:hAnsi="Arial" w:cs="Arial"/>
          <w:sz w:val="20"/>
          <w:szCs w:val="20"/>
        </w:rPr>
      </w:pPr>
      <w:r>
        <w:rPr>
          <w:rFonts w:cs="Arial" w:ascii="Arial" w:hAnsi="Arial"/>
          <w:sz w:val="20"/>
          <w:szCs w:val="20"/>
        </w:rPr>
        <w:t>le eventuali spese per le commissioni giudicatrici;</w:t>
      </w:r>
    </w:p>
    <w:p>
      <w:pPr>
        <w:pStyle w:val="ListParagraph"/>
        <w:numPr>
          <w:ilvl w:val="0"/>
          <w:numId w:val="12"/>
        </w:numPr>
        <w:spacing w:lineRule="auto" w:line="360"/>
        <w:ind w:left="572" w:right="142" w:hanging="360"/>
        <w:rPr>
          <w:rFonts w:ascii="Arial" w:hAnsi="Arial" w:cs="Arial"/>
          <w:sz w:val="20"/>
          <w:szCs w:val="20"/>
        </w:rPr>
      </w:pPr>
      <w:r>
        <w:rPr>
          <w:rFonts w:cs="Arial" w:ascii="Arial" w:hAnsi="Arial"/>
          <w:sz w:val="20"/>
          <w:szCs w:val="20"/>
        </w:rPr>
        <w:t>quanto eventualmente dovuto a titolo di spese legali qualora dalla procedura di gara scaturisca un contenzioso;</w:t>
      </w:r>
    </w:p>
    <w:p>
      <w:pPr>
        <w:pStyle w:val="ListParagraph"/>
        <w:numPr>
          <w:ilvl w:val="0"/>
          <w:numId w:val="12"/>
        </w:numPr>
        <w:spacing w:lineRule="auto" w:line="360"/>
        <w:ind w:left="572" w:right="142" w:hanging="360"/>
        <w:rPr>
          <w:rFonts w:ascii="Arial" w:hAnsi="Arial" w:cs="Arial"/>
          <w:sz w:val="20"/>
          <w:szCs w:val="20"/>
        </w:rPr>
      </w:pPr>
      <w:r>
        <w:rPr>
          <w:rFonts w:cs="Arial" w:ascii="Arial" w:hAnsi="Arial"/>
          <w:sz w:val="20"/>
          <w:szCs w:val="20"/>
        </w:rPr>
        <w:t>quant’altro non previsto a carico della S.U.A. nella presente Convenzione.</w:t>
      </w:r>
    </w:p>
    <w:p>
      <w:pPr>
        <w:pStyle w:val="ListParagraph"/>
        <w:numPr>
          <w:ilvl w:val="0"/>
          <w:numId w:val="12"/>
        </w:numPr>
        <w:spacing w:lineRule="auto" w:line="360"/>
        <w:ind w:left="572" w:right="142" w:hanging="360"/>
        <w:rPr>
          <w:rFonts w:ascii="Arial" w:hAnsi="Arial" w:cs="Arial"/>
          <w:sz w:val="20"/>
          <w:szCs w:val="20"/>
        </w:rPr>
      </w:pPr>
      <w:r>
        <w:rPr>
          <w:rFonts w:cs="Arial" w:ascii="Arial" w:hAnsi="Arial"/>
          <w:sz w:val="20"/>
          <w:szCs w:val="20"/>
        </w:rPr>
        <w:t>Le somme spettanti alla S.U.A., secondo quanto previsto dai precedenti commi 2, 5 e 7, dovranno essere corrisposte dall’Ente Aderente mediante girofondi sul Conto di Tesoreria presso Banca d’Italia: TU-520-0305601 – codice IBAN IT62N0100004306TU0000031386 intestato al Comune di Setzu con obbligo di specificare la causale del versamento e di comunicare, tramite l’indirizzo pec protocollo@pec.comune.setzu.vs.it, l’avvenuta esecuzione.</w:t>
      </w:r>
    </w:p>
    <w:p>
      <w:pPr>
        <w:pStyle w:val="ListParagraph"/>
        <w:numPr>
          <w:ilvl w:val="0"/>
          <w:numId w:val="12"/>
        </w:numPr>
        <w:spacing w:lineRule="auto" w:line="360"/>
        <w:ind w:left="572" w:right="142" w:hanging="360"/>
        <w:rPr>
          <w:rFonts w:ascii="Arial" w:hAnsi="Arial" w:cs="Arial"/>
          <w:sz w:val="20"/>
          <w:szCs w:val="20"/>
        </w:rPr>
      </w:pPr>
      <w:r>
        <w:rPr>
          <w:rFonts w:cs="Arial" w:ascii="Arial" w:hAnsi="Arial"/>
          <w:sz w:val="20"/>
          <w:szCs w:val="20"/>
        </w:rPr>
        <w:t>La “QUOTA VARIABILE” dovrà essere corrisposta prima dell’avvio di ciascuna procedura di affidamento, pena la mancata attivazione della procedura di gara. Il mancato versamento di tale quota comporterà il mancato avvio della procedura di gara richiesta.</w:t>
      </w:r>
    </w:p>
    <w:p>
      <w:pPr>
        <w:pStyle w:val="ListParagraph"/>
        <w:numPr>
          <w:ilvl w:val="0"/>
          <w:numId w:val="12"/>
        </w:numPr>
        <w:spacing w:lineRule="auto" w:line="360"/>
        <w:ind w:left="572" w:right="142" w:hanging="360"/>
        <w:rPr>
          <w:rFonts w:ascii="Arial" w:hAnsi="Arial" w:cs="Arial"/>
          <w:sz w:val="20"/>
          <w:szCs w:val="20"/>
        </w:rPr>
      </w:pPr>
      <w:r>
        <w:rPr>
          <w:rFonts w:cs="Arial" w:ascii="Arial" w:hAnsi="Arial"/>
          <w:sz w:val="20"/>
          <w:szCs w:val="20"/>
        </w:rPr>
        <w:t>11. In caso di mancata liquidazione delle somme di cui al comma 4 e del rimborso di quelle di cui all’art. 7, lettera a), la S.U.A. può rifiutare di svolgere le successive procedure di affidamento e quelle di supporto previste dalla presente Convenzione.</w:t>
      </w:r>
    </w:p>
    <w:p>
      <w:pPr>
        <w:pStyle w:val="Corpodeltesto"/>
        <w:spacing w:lineRule="auto" w:line="360"/>
        <w:ind w:left="0" w:hanging="0"/>
        <w:jc w:val="left"/>
        <w:rPr>
          <w:rFonts w:ascii="Arial" w:hAnsi="Arial" w:cs="Arial"/>
          <w:sz w:val="20"/>
          <w:szCs w:val="20"/>
        </w:rPr>
      </w:pPr>
      <w:r>
        <w:rPr>
          <w:rFonts w:cs="Arial" w:ascii="Arial" w:hAnsi="Arial"/>
          <w:sz w:val="20"/>
          <w:szCs w:val="20"/>
        </w:rPr>
      </w:r>
    </w:p>
    <w:p>
      <w:pPr>
        <w:pStyle w:val="Titolo1"/>
        <w:spacing w:lineRule="auto" w:line="360"/>
        <w:rPr>
          <w:rFonts w:ascii="Arial" w:hAnsi="Arial" w:cs="Arial"/>
          <w:sz w:val="20"/>
          <w:szCs w:val="20"/>
        </w:rPr>
      </w:pPr>
      <w:bookmarkStart w:id="31" w:name="_bookmark14"/>
      <w:bookmarkStart w:id="32" w:name="Art._13_Recesso_e_risoluzione"/>
      <w:bookmarkEnd w:id="31"/>
      <w:bookmarkEnd w:id="32"/>
      <w:r>
        <w:rPr>
          <w:rFonts w:cs="Arial" w:ascii="Arial" w:hAnsi="Arial"/>
          <w:sz w:val="20"/>
          <w:szCs w:val="20"/>
        </w:rPr>
        <w:t>Art.</w:t>
      </w:r>
      <w:r>
        <w:rPr>
          <w:rFonts w:cs="Arial" w:ascii="Arial" w:hAnsi="Arial"/>
          <w:spacing w:val="-3"/>
          <w:sz w:val="20"/>
          <w:szCs w:val="20"/>
        </w:rPr>
        <w:t xml:space="preserve"> </w:t>
      </w:r>
      <w:r>
        <w:rPr>
          <w:rFonts w:cs="Arial" w:ascii="Arial" w:hAnsi="Arial"/>
          <w:sz w:val="20"/>
          <w:szCs w:val="20"/>
        </w:rPr>
        <w:t>13</w:t>
      </w:r>
      <w:r>
        <w:rPr>
          <w:rFonts w:cs="Arial" w:ascii="Arial" w:hAnsi="Arial"/>
          <w:spacing w:val="-2"/>
          <w:sz w:val="20"/>
          <w:szCs w:val="20"/>
        </w:rPr>
        <w:t xml:space="preserve"> </w:t>
      </w:r>
      <w:r>
        <w:rPr>
          <w:rFonts w:cs="Arial" w:ascii="Arial" w:hAnsi="Arial"/>
          <w:sz w:val="20"/>
          <w:szCs w:val="20"/>
        </w:rPr>
        <w:t>Recesso</w:t>
      </w:r>
      <w:r>
        <w:rPr>
          <w:rFonts w:cs="Arial" w:ascii="Arial" w:hAnsi="Arial"/>
          <w:spacing w:val="-2"/>
          <w:sz w:val="20"/>
          <w:szCs w:val="20"/>
        </w:rPr>
        <w:t xml:space="preserve"> </w:t>
      </w:r>
      <w:r>
        <w:rPr>
          <w:rFonts w:cs="Arial" w:ascii="Arial" w:hAnsi="Arial"/>
          <w:sz w:val="20"/>
          <w:szCs w:val="20"/>
        </w:rPr>
        <w:t>e</w:t>
      </w:r>
      <w:r>
        <w:rPr>
          <w:rFonts w:cs="Arial" w:ascii="Arial" w:hAnsi="Arial"/>
          <w:spacing w:val="-3"/>
          <w:sz w:val="20"/>
          <w:szCs w:val="20"/>
        </w:rPr>
        <w:t xml:space="preserve"> </w:t>
      </w:r>
      <w:r>
        <w:rPr>
          <w:rFonts w:cs="Arial" w:ascii="Arial" w:hAnsi="Arial"/>
          <w:sz w:val="20"/>
          <w:szCs w:val="20"/>
        </w:rPr>
        <w:t>risoluzione</w:t>
      </w:r>
    </w:p>
    <w:p>
      <w:pPr>
        <w:pStyle w:val="ListParagraph"/>
        <w:numPr>
          <w:ilvl w:val="0"/>
          <w:numId w:val="13"/>
        </w:numPr>
        <w:spacing w:lineRule="auto" w:line="360"/>
        <w:ind w:left="572" w:right="142" w:hanging="360"/>
        <w:rPr>
          <w:rFonts w:ascii="Arial" w:hAnsi="Arial" w:cs="Arial"/>
          <w:sz w:val="20"/>
          <w:szCs w:val="20"/>
        </w:rPr>
      </w:pPr>
      <w:r>
        <w:rPr>
          <w:rFonts w:cs="Arial" w:ascii="Arial" w:hAnsi="Arial"/>
          <w:sz w:val="20"/>
          <w:szCs w:val="20"/>
        </w:rPr>
        <w:t>L’Ente Aderente può recedere dalla Convenzione, con formale preavviso di almeno 60 giorni.</w:t>
      </w:r>
    </w:p>
    <w:p>
      <w:pPr>
        <w:pStyle w:val="ListParagraph"/>
        <w:numPr>
          <w:ilvl w:val="0"/>
          <w:numId w:val="13"/>
        </w:numPr>
        <w:spacing w:lineRule="auto" w:line="360"/>
        <w:ind w:left="572" w:right="142" w:hanging="360"/>
        <w:rPr>
          <w:rFonts w:ascii="Arial" w:hAnsi="Arial" w:cs="Arial"/>
          <w:sz w:val="20"/>
          <w:szCs w:val="20"/>
        </w:rPr>
      </w:pPr>
      <w:r>
        <w:rPr>
          <w:rFonts w:cs="Arial" w:ascii="Arial" w:hAnsi="Arial"/>
          <w:sz w:val="20"/>
          <w:szCs w:val="20"/>
        </w:rPr>
        <w:t>Salvo diverso accordo, la S.U.A. porterà a termine per quanto di propria competenza le procedure di gara il cui Bando risulti già pubblicato, o Invito già trasmesso, mentre restituirà all’Ente gli atti relativi ai procedimenti che non abbiano ancora raggiunto tale fase.</w:t>
      </w:r>
    </w:p>
    <w:p>
      <w:pPr>
        <w:pStyle w:val="ListParagraph"/>
        <w:numPr>
          <w:ilvl w:val="0"/>
          <w:numId w:val="13"/>
        </w:numPr>
        <w:spacing w:lineRule="auto" w:line="360"/>
        <w:ind w:left="572" w:right="142" w:hanging="360"/>
        <w:rPr>
          <w:rFonts w:ascii="Arial" w:hAnsi="Arial" w:cs="Arial"/>
          <w:sz w:val="20"/>
          <w:szCs w:val="20"/>
        </w:rPr>
      </w:pPr>
      <w:r>
        <w:rPr>
          <w:rFonts w:cs="Arial" w:ascii="Arial" w:hAnsi="Arial"/>
          <w:sz w:val="20"/>
          <w:szCs w:val="20"/>
        </w:rPr>
        <w:t>Le parti potranno altresì risolvere la presente Convenzione per inadempimento dell’altra parte alle obbligazioni ivi previste.</w:t>
      </w:r>
    </w:p>
    <w:p>
      <w:pPr>
        <w:pStyle w:val="Titolo1"/>
        <w:spacing w:lineRule="auto" w:line="360"/>
        <w:ind w:left="45" w:hanging="0"/>
        <w:rPr>
          <w:rFonts w:ascii="Arial" w:hAnsi="Arial" w:cs="Arial"/>
          <w:sz w:val="20"/>
          <w:szCs w:val="20"/>
        </w:rPr>
      </w:pPr>
      <w:r>
        <w:rPr>
          <w:rFonts w:cs="Arial" w:ascii="Arial" w:hAnsi="Arial"/>
          <w:sz w:val="20"/>
          <w:szCs w:val="20"/>
        </w:rPr>
      </w:r>
      <w:bookmarkStart w:id="33" w:name="_bookmark15"/>
      <w:bookmarkStart w:id="34" w:name="_bookmark15"/>
      <w:bookmarkEnd w:id="34"/>
    </w:p>
    <w:p>
      <w:pPr>
        <w:pStyle w:val="Titolo1"/>
        <w:spacing w:lineRule="auto" w:line="360"/>
        <w:ind w:left="45" w:hanging="0"/>
        <w:rPr>
          <w:rFonts w:ascii="Arial" w:hAnsi="Arial" w:cs="Arial"/>
          <w:sz w:val="20"/>
          <w:szCs w:val="20"/>
        </w:rPr>
      </w:pPr>
      <w:r>
        <w:rPr>
          <w:rFonts w:cs="Arial" w:ascii="Arial" w:hAnsi="Arial"/>
          <w:sz w:val="20"/>
          <w:szCs w:val="20"/>
        </w:rPr>
        <w:t>Art.</w:t>
      </w:r>
      <w:r>
        <w:rPr>
          <w:rFonts w:cs="Arial" w:ascii="Arial" w:hAnsi="Arial"/>
          <w:spacing w:val="-3"/>
          <w:sz w:val="20"/>
          <w:szCs w:val="20"/>
        </w:rPr>
        <w:t xml:space="preserve"> </w:t>
      </w:r>
      <w:r>
        <w:rPr>
          <w:rFonts w:cs="Arial" w:ascii="Arial" w:hAnsi="Arial"/>
          <w:sz w:val="20"/>
          <w:szCs w:val="20"/>
        </w:rPr>
        <w:t>14</w:t>
      </w:r>
      <w:r>
        <w:rPr>
          <w:rFonts w:cs="Arial" w:ascii="Arial" w:hAnsi="Arial"/>
          <w:spacing w:val="-2"/>
          <w:sz w:val="20"/>
          <w:szCs w:val="20"/>
        </w:rPr>
        <w:t xml:space="preserve"> </w:t>
      </w:r>
      <w:r>
        <w:rPr>
          <w:rFonts w:cs="Arial" w:ascii="Arial" w:hAnsi="Arial"/>
          <w:sz w:val="20"/>
          <w:szCs w:val="20"/>
        </w:rPr>
        <w:t>N</w:t>
      </w:r>
      <w:bookmarkStart w:id="35" w:name="Art._14_Non_esclusività"/>
      <w:bookmarkEnd w:id="35"/>
      <w:r>
        <w:rPr>
          <w:rFonts w:cs="Arial" w:ascii="Arial" w:hAnsi="Arial"/>
          <w:sz w:val="20"/>
          <w:szCs w:val="20"/>
        </w:rPr>
        <w:t>on</w:t>
      </w:r>
      <w:r>
        <w:rPr>
          <w:rFonts w:cs="Arial" w:ascii="Arial" w:hAnsi="Arial"/>
          <w:spacing w:val="-2"/>
          <w:sz w:val="20"/>
          <w:szCs w:val="20"/>
        </w:rPr>
        <w:t xml:space="preserve"> </w:t>
      </w:r>
      <w:r>
        <w:rPr>
          <w:rFonts w:cs="Arial" w:ascii="Arial" w:hAnsi="Arial"/>
          <w:sz w:val="20"/>
          <w:szCs w:val="20"/>
        </w:rPr>
        <w:t>esclusività</w:t>
      </w:r>
    </w:p>
    <w:p>
      <w:pPr>
        <w:pStyle w:val="ListParagraph"/>
        <w:spacing w:lineRule="auto" w:line="360"/>
        <w:ind w:left="572" w:right="142" w:hanging="0"/>
        <w:rPr>
          <w:rFonts w:ascii="Arial" w:hAnsi="Arial" w:cs="Arial"/>
          <w:sz w:val="20"/>
          <w:szCs w:val="20"/>
        </w:rPr>
      </w:pPr>
      <w:r>
        <w:rPr>
          <w:rFonts w:cs="Arial" w:ascii="Arial" w:hAnsi="Arial"/>
          <w:sz w:val="20"/>
          <w:szCs w:val="20"/>
        </w:rPr>
        <w:t>L'adesione alla presente convenzione non comporta l'obbligo per l'Ente aderente di</w:t>
      </w:r>
      <w:r>
        <w:rPr>
          <w:rFonts w:cs="Arial" w:ascii="Arial" w:hAnsi="Arial"/>
          <w:spacing w:val="1"/>
          <w:sz w:val="20"/>
          <w:szCs w:val="20"/>
        </w:rPr>
        <w:t xml:space="preserve"> </w:t>
      </w:r>
      <w:r>
        <w:rPr>
          <w:rFonts w:cs="Arial" w:ascii="Arial" w:hAnsi="Arial"/>
          <w:sz w:val="20"/>
          <w:szCs w:val="20"/>
        </w:rPr>
        <w:t>ricorrere</w:t>
      </w:r>
      <w:r>
        <w:rPr>
          <w:rFonts w:cs="Arial" w:ascii="Arial" w:hAnsi="Arial"/>
          <w:spacing w:val="1"/>
          <w:sz w:val="20"/>
          <w:szCs w:val="20"/>
        </w:rPr>
        <w:t xml:space="preserve"> </w:t>
      </w:r>
      <w:r>
        <w:rPr>
          <w:rFonts w:cs="Arial" w:ascii="Arial" w:hAnsi="Arial"/>
          <w:sz w:val="20"/>
          <w:szCs w:val="20"/>
        </w:rPr>
        <w:t>esclusivamente</w:t>
      </w:r>
      <w:r>
        <w:rPr>
          <w:rFonts w:cs="Arial" w:ascii="Arial" w:hAnsi="Arial"/>
          <w:spacing w:val="1"/>
          <w:sz w:val="20"/>
          <w:szCs w:val="20"/>
        </w:rPr>
        <w:t xml:space="preserve"> </w:t>
      </w:r>
      <w:r>
        <w:rPr>
          <w:rFonts w:cs="Arial" w:ascii="Arial" w:hAnsi="Arial"/>
          <w:sz w:val="20"/>
          <w:szCs w:val="20"/>
        </w:rPr>
        <w:t>alla</w:t>
      </w:r>
      <w:r>
        <w:rPr>
          <w:rFonts w:cs="Arial" w:ascii="Arial" w:hAnsi="Arial"/>
          <w:spacing w:val="1"/>
          <w:sz w:val="20"/>
          <w:szCs w:val="20"/>
        </w:rPr>
        <w:t xml:space="preserve"> </w:t>
      </w:r>
      <w:r>
        <w:rPr>
          <w:rFonts w:cs="Arial" w:ascii="Arial" w:hAnsi="Arial"/>
          <w:sz w:val="20"/>
          <w:szCs w:val="20"/>
        </w:rPr>
        <w:t>S.U.A.</w:t>
      </w:r>
      <w:r>
        <w:rPr>
          <w:rFonts w:cs="Arial" w:ascii="Arial" w:hAnsi="Arial"/>
          <w:spacing w:val="1"/>
          <w:sz w:val="20"/>
          <w:szCs w:val="20"/>
        </w:rPr>
        <w:t xml:space="preserve"> </w:t>
      </w:r>
      <w:r>
        <w:rPr>
          <w:rFonts w:cs="Arial" w:ascii="Arial" w:hAnsi="Arial"/>
          <w:sz w:val="20"/>
          <w:szCs w:val="20"/>
        </w:rPr>
        <w:t>per</w:t>
      </w:r>
      <w:r>
        <w:rPr>
          <w:rFonts w:cs="Arial" w:ascii="Arial" w:hAnsi="Arial"/>
          <w:spacing w:val="1"/>
          <w:sz w:val="20"/>
          <w:szCs w:val="20"/>
        </w:rPr>
        <w:t xml:space="preserve"> </w:t>
      </w:r>
      <w:r>
        <w:rPr>
          <w:rFonts w:cs="Arial" w:ascii="Arial" w:hAnsi="Arial"/>
          <w:sz w:val="20"/>
          <w:szCs w:val="20"/>
        </w:rPr>
        <w:t>ogni</w:t>
      </w:r>
      <w:r>
        <w:rPr>
          <w:rFonts w:cs="Arial" w:ascii="Arial" w:hAnsi="Arial"/>
          <w:spacing w:val="1"/>
          <w:sz w:val="20"/>
          <w:szCs w:val="20"/>
        </w:rPr>
        <w:t xml:space="preserve"> </w:t>
      </w:r>
      <w:r>
        <w:rPr>
          <w:rFonts w:cs="Arial" w:ascii="Arial" w:hAnsi="Arial"/>
          <w:sz w:val="20"/>
          <w:szCs w:val="20"/>
        </w:rPr>
        <w:t>procedura</w:t>
      </w:r>
      <w:r>
        <w:rPr>
          <w:rFonts w:cs="Arial" w:ascii="Arial" w:hAnsi="Arial"/>
          <w:spacing w:val="1"/>
          <w:sz w:val="20"/>
          <w:szCs w:val="20"/>
        </w:rPr>
        <w:t xml:space="preserve"> </w:t>
      </w:r>
      <w:r>
        <w:rPr>
          <w:rFonts w:cs="Arial" w:ascii="Arial" w:hAnsi="Arial"/>
          <w:sz w:val="20"/>
          <w:szCs w:val="20"/>
        </w:rPr>
        <w:t>di</w:t>
      </w:r>
      <w:r>
        <w:rPr>
          <w:rFonts w:cs="Arial" w:ascii="Arial" w:hAnsi="Arial"/>
          <w:spacing w:val="1"/>
          <w:sz w:val="20"/>
          <w:szCs w:val="20"/>
        </w:rPr>
        <w:t xml:space="preserve"> </w:t>
      </w:r>
      <w:r>
        <w:rPr>
          <w:rFonts w:cs="Arial" w:ascii="Arial" w:hAnsi="Arial"/>
          <w:sz w:val="20"/>
          <w:szCs w:val="20"/>
        </w:rPr>
        <w:t>acquisizione,</w:t>
      </w:r>
      <w:r>
        <w:rPr>
          <w:rFonts w:cs="Arial" w:ascii="Arial" w:hAnsi="Arial"/>
          <w:spacing w:val="1"/>
          <w:sz w:val="20"/>
          <w:szCs w:val="20"/>
        </w:rPr>
        <w:t xml:space="preserve"> </w:t>
      </w:r>
      <w:r>
        <w:rPr>
          <w:rFonts w:cs="Arial" w:ascii="Arial" w:hAnsi="Arial"/>
          <w:sz w:val="20"/>
          <w:szCs w:val="20"/>
        </w:rPr>
        <w:t>potendo</w:t>
      </w:r>
      <w:r>
        <w:rPr>
          <w:rFonts w:cs="Arial" w:ascii="Arial" w:hAnsi="Arial"/>
          <w:spacing w:val="-67"/>
          <w:sz w:val="20"/>
          <w:szCs w:val="20"/>
        </w:rPr>
        <w:t xml:space="preserve"> </w:t>
      </w:r>
      <w:r>
        <w:rPr>
          <w:rFonts w:cs="Arial" w:ascii="Arial" w:hAnsi="Arial"/>
          <w:sz w:val="20"/>
          <w:szCs w:val="20"/>
        </w:rPr>
        <w:t>ricorrere anche</w:t>
      </w:r>
      <w:r>
        <w:rPr>
          <w:rFonts w:cs="Arial" w:ascii="Arial" w:hAnsi="Arial"/>
          <w:spacing w:val="-1"/>
          <w:sz w:val="20"/>
          <w:szCs w:val="20"/>
        </w:rPr>
        <w:t xml:space="preserve"> </w:t>
      </w:r>
      <w:r>
        <w:rPr>
          <w:rFonts w:cs="Arial" w:ascii="Arial" w:hAnsi="Arial"/>
          <w:sz w:val="20"/>
          <w:szCs w:val="20"/>
        </w:rPr>
        <w:t>ad</w:t>
      </w:r>
      <w:r>
        <w:rPr>
          <w:rFonts w:cs="Arial" w:ascii="Arial" w:hAnsi="Arial"/>
          <w:spacing w:val="-2"/>
          <w:sz w:val="20"/>
          <w:szCs w:val="20"/>
        </w:rPr>
        <w:t xml:space="preserve"> </w:t>
      </w:r>
      <w:r>
        <w:rPr>
          <w:rFonts w:cs="Arial" w:ascii="Arial" w:hAnsi="Arial"/>
          <w:sz w:val="20"/>
          <w:szCs w:val="20"/>
        </w:rPr>
        <w:t>altre</w:t>
      </w:r>
      <w:r>
        <w:rPr>
          <w:rFonts w:cs="Arial" w:ascii="Arial" w:hAnsi="Arial"/>
          <w:spacing w:val="-1"/>
          <w:sz w:val="20"/>
          <w:szCs w:val="20"/>
        </w:rPr>
        <w:t xml:space="preserve"> </w:t>
      </w:r>
      <w:r>
        <w:rPr>
          <w:rFonts w:cs="Arial" w:ascii="Arial" w:hAnsi="Arial"/>
          <w:sz w:val="20"/>
          <w:szCs w:val="20"/>
        </w:rPr>
        <w:t>soluzioni</w:t>
      </w:r>
      <w:r>
        <w:rPr>
          <w:rFonts w:cs="Arial" w:ascii="Arial" w:hAnsi="Arial"/>
          <w:spacing w:val="-1"/>
          <w:sz w:val="20"/>
          <w:szCs w:val="20"/>
        </w:rPr>
        <w:t xml:space="preserve"> </w:t>
      </w:r>
      <w:r>
        <w:rPr>
          <w:rFonts w:cs="Arial" w:ascii="Arial" w:hAnsi="Arial"/>
          <w:sz w:val="20"/>
          <w:szCs w:val="20"/>
        </w:rPr>
        <w:t>previste</w:t>
      </w:r>
      <w:r>
        <w:rPr>
          <w:rFonts w:cs="Arial" w:ascii="Arial" w:hAnsi="Arial"/>
          <w:spacing w:val="1"/>
          <w:sz w:val="20"/>
          <w:szCs w:val="20"/>
        </w:rPr>
        <w:t xml:space="preserve"> </w:t>
      </w:r>
      <w:r>
        <w:rPr>
          <w:rFonts w:cs="Arial" w:ascii="Arial" w:hAnsi="Arial"/>
          <w:sz w:val="20"/>
          <w:szCs w:val="20"/>
        </w:rPr>
        <w:t>dalla</w:t>
      </w:r>
      <w:r>
        <w:rPr>
          <w:rFonts w:cs="Arial" w:ascii="Arial" w:hAnsi="Arial"/>
          <w:spacing w:val="-2"/>
          <w:sz w:val="20"/>
          <w:szCs w:val="20"/>
        </w:rPr>
        <w:t xml:space="preserve"> </w:t>
      </w:r>
      <w:r>
        <w:rPr>
          <w:rFonts w:cs="Arial" w:ascii="Arial" w:hAnsi="Arial"/>
          <w:sz w:val="20"/>
          <w:szCs w:val="20"/>
        </w:rPr>
        <w:t>vigente</w:t>
      </w:r>
      <w:r>
        <w:rPr>
          <w:rFonts w:cs="Arial" w:ascii="Arial" w:hAnsi="Arial"/>
          <w:spacing w:val="-1"/>
          <w:sz w:val="20"/>
          <w:szCs w:val="20"/>
        </w:rPr>
        <w:t xml:space="preserve"> </w:t>
      </w:r>
      <w:r>
        <w:rPr>
          <w:rFonts w:cs="Arial" w:ascii="Arial" w:hAnsi="Arial"/>
          <w:sz w:val="20"/>
          <w:szCs w:val="20"/>
        </w:rPr>
        <w:t>normativa.</w:t>
      </w:r>
    </w:p>
    <w:p>
      <w:pPr>
        <w:pStyle w:val="Corpodeltesto"/>
        <w:spacing w:lineRule="auto" w:line="360"/>
        <w:ind w:left="0" w:hanging="0"/>
        <w:jc w:val="left"/>
        <w:rPr>
          <w:rFonts w:ascii="Arial" w:hAnsi="Arial" w:cs="Arial"/>
          <w:sz w:val="20"/>
          <w:szCs w:val="20"/>
        </w:rPr>
      </w:pPr>
      <w:r>
        <w:rPr>
          <w:rFonts w:cs="Arial" w:ascii="Arial" w:hAnsi="Arial"/>
          <w:sz w:val="20"/>
          <w:szCs w:val="20"/>
        </w:rPr>
      </w:r>
    </w:p>
    <w:p>
      <w:pPr>
        <w:pStyle w:val="Titolo1"/>
        <w:spacing w:lineRule="auto" w:line="360"/>
        <w:ind w:left="45" w:hanging="0"/>
        <w:rPr>
          <w:rFonts w:ascii="Arial" w:hAnsi="Arial" w:cs="Arial"/>
          <w:sz w:val="20"/>
          <w:szCs w:val="20"/>
        </w:rPr>
      </w:pPr>
      <w:bookmarkStart w:id="36" w:name="_bookmark16"/>
      <w:bookmarkStart w:id="37" w:name="Art._15_Prevenzione_della_corruzione"/>
      <w:bookmarkEnd w:id="36"/>
      <w:bookmarkEnd w:id="37"/>
      <w:r>
        <w:rPr>
          <w:rFonts w:cs="Arial" w:ascii="Arial" w:hAnsi="Arial"/>
          <w:sz w:val="20"/>
          <w:szCs w:val="20"/>
        </w:rPr>
        <w:t>Art.</w:t>
      </w:r>
      <w:r>
        <w:rPr>
          <w:rFonts w:cs="Arial" w:ascii="Arial" w:hAnsi="Arial"/>
          <w:spacing w:val="-6"/>
          <w:sz w:val="20"/>
          <w:szCs w:val="20"/>
        </w:rPr>
        <w:t xml:space="preserve"> </w:t>
      </w:r>
      <w:r>
        <w:rPr>
          <w:rFonts w:cs="Arial" w:ascii="Arial" w:hAnsi="Arial"/>
          <w:sz w:val="20"/>
          <w:szCs w:val="20"/>
        </w:rPr>
        <w:t>15</w:t>
      </w:r>
      <w:r>
        <w:rPr>
          <w:rFonts w:cs="Arial" w:ascii="Arial" w:hAnsi="Arial"/>
          <w:spacing w:val="-5"/>
          <w:sz w:val="20"/>
          <w:szCs w:val="20"/>
        </w:rPr>
        <w:t xml:space="preserve"> </w:t>
      </w:r>
      <w:r>
        <w:rPr>
          <w:rFonts w:cs="Arial" w:ascii="Arial" w:hAnsi="Arial"/>
          <w:sz w:val="20"/>
          <w:szCs w:val="20"/>
        </w:rPr>
        <w:t>Prevenzione</w:t>
      </w:r>
      <w:r>
        <w:rPr>
          <w:rFonts w:cs="Arial" w:ascii="Arial" w:hAnsi="Arial"/>
          <w:spacing w:val="-6"/>
          <w:sz w:val="20"/>
          <w:szCs w:val="20"/>
        </w:rPr>
        <w:t xml:space="preserve"> </w:t>
      </w:r>
      <w:r>
        <w:rPr>
          <w:rFonts w:cs="Arial" w:ascii="Arial" w:hAnsi="Arial"/>
          <w:sz w:val="20"/>
          <w:szCs w:val="20"/>
        </w:rPr>
        <w:t>della</w:t>
      </w:r>
      <w:r>
        <w:rPr>
          <w:rFonts w:cs="Arial" w:ascii="Arial" w:hAnsi="Arial"/>
          <w:spacing w:val="-5"/>
          <w:sz w:val="20"/>
          <w:szCs w:val="20"/>
        </w:rPr>
        <w:t xml:space="preserve"> </w:t>
      </w:r>
      <w:r>
        <w:rPr>
          <w:rFonts w:cs="Arial" w:ascii="Arial" w:hAnsi="Arial"/>
          <w:sz w:val="20"/>
          <w:szCs w:val="20"/>
        </w:rPr>
        <w:t>corruzione</w:t>
      </w:r>
    </w:p>
    <w:p>
      <w:pPr>
        <w:pStyle w:val="ListParagraph"/>
        <w:numPr>
          <w:ilvl w:val="0"/>
          <w:numId w:val="14"/>
        </w:numPr>
        <w:spacing w:lineRule="auto" w:line="360"/>
        <w:ind w:left="572" w:right="142" w:hanging="360"/>
        <w:rPr>
          <w:rFonts w:ascii="Arial" w:hAnsi="Arial" w:cs="Arial"/>
          <w:sz w:val="20"/>
          <w:szCs w:val="20"/>
        </w:rPr>
      </w:pPr>
      <w:r>
        <w:rPr>
          <w:rFonts w:cs="Arial" w:ascii="Arial" w:hAnsi="Arial"/>
          <w:sz w:val="20"/>
          <w:szCs w:val="20"/>
        </w:rPr>
        <w:t>Il Comune di Setzu e l’Ente convenzionato reciprocamente assumono formale obbligazione di conformare i propri comportamenti ai principi di legalità, lealtà, trasparenza, correttezza e riservatezza.</w:t>
      </w:r>
    </w:p>
    <w:p>
      <w:pPr>
        <w:pStyle w:val="ListParagraph"/>
        <w:numPr>
          <w:ilvl w:val="0"/>
          <w:numId w:val="14"/>
        </w:numPr>
        <w:spacing w:lineRule="auto" w:line="360"/>
        <w:ind w:left="572" w:right="142" w:hanging="360"/>
        <w:rPr>
          <w:rFonts w:ascii="Arial" w:hAnsi="Arial" w:cs="Arial"/>
          <w:sz w:val="20"/>
          <w:szCs w:val="20"/>
        </w:rPr>
      </w:pPr>
      <w:r>
        <w:rPr>
          <w:rFonts w:cs="Arial" w:ascii="Arial" w:hAnsi="Arial"/>
          <w:sz w:val="20"/>
          <w:szCs w:val="20"/>
        </w:rPr>
        <w:t>L’Ente aderente si impegna a segnalare alla S.U.A. qualsiasi tentativo di turbativa, irregolarità o distorsione nelle fasi di svolgimento della gara da parte di ogni interessato o addetto o di chiunque possa influenzare le decisioni relative alla gara in corso.</w:t>
      </w:r>
    </w:p>
    <w:p>
      <w:pPr>
        <w:pStyle w:val="ListParagraph"/>
        <w:numPr>
          <w:ilvl w:val="0"/>
          <w:numId w:val="14"/>
        </w:numPr>
        <w:spacing w:lineRule="auto" w:line="360"/>
        <w:ind w:left="572" w:right="142" w:hanging="360"/>
        <w:rPr>
          <w:rFonts w:ascii="Arial" w:hAnsi="Arial" w:cs="Arial"/>
          <w:sz w:val="20"/>
          <w:szCs w:val="20"/>
        </w:rPr>
      </w:pPr>
      <w:r>
        <w:rPr>
          <w:rFonts w:cs="Arial" w:ascii="Arial" w:hAnsi="Arial"/>
          <w:sz w:val="20"/>
          <w:szCs w:val="20"/>
        </w:rPr>
        <w:t>Nell'espletamento delle attività di centrale di committenza il Comune di Setzu è soggetto all'applicazione delle disposizioni di cui alla legge n. 190/2012 e di quelle attuative della medesima nonché al regime dei controlli interni.</w:t>
      </w:r>
    </w:p>
    <w:p>
      <w:pPr>
        <w:pStyle w:val="Corpodeltesto"/>
        <w:spacing w:lineRule="auto" w:line="360"/>
        <w:ind w:left="0" w:hanging="0"/>
        <w:jc w:val="left"/>
        <w:rPr>
          <w:rFonts w:ascii="Arial" w:hAnsi="Arial" w:cs="Arial"/>
          <w:sz w:val="20"/>
          <w:szCs w:val="20"/>
        </w:rPr>
      </w:pPr>
      <w:r>
        <w:rPr>
          <w:rFonts w:cs="Arial" w:ascii="Arial" w:hAnsi="Arial"/>
          <w:sz w:val="20"/>
          <w:szCs w:val="20"/>
        </w:rPr>
      </w:r>
    </w:p>
    <w:p>
      <w:pPr>
        <w:pStyle w:val="Titolo1"/>
        <w:spacing w:lineRule="auto" w:line="360"/>
        <w:ind w:left="41" w:hanging="0"/>
        <w:rPr>
          <w:rFonts w:ascii="Arial" w:hAnsi="Arial" w:cs="Arial"/>
          <w:sz w:val="20"/>
          <w:szCs w:val="20"/>
        </w:rPr>
      </w:pPr>
      <w:bookmarkStart w:id="38" w:name="_bookmark17"/>
      <w:bookmarkStart w:id="39" w:name="Art._16_Collaborazione_nei_contenziosi_i"/>
      <w:bookmarkEnd w:id="38"/>
      <w:bookmarkEnd w:id="39"/>
      <w:r>
        <w:rPr>
          <w:rFonts w:cs="Arial" w:ascii="Arial" w:hAnsi="Arial"/>
          <w:sz w:val="20"/>
          <w:szCs w:val="20"/>
        </w:rPr>
        <w:t>Art.</w:t>
      </w:r>
      <w:r>
        <w:rPr>
          <w:rFonts w:cs="Arial" w:ascii="Arial" w:hAnsi="Arial"/>
          <w:spacing w:val="-3"/>
          <w:sz w:val="20"/>
          <w:szCs w:val="20"/>
        </w:rPr>
        <w:t xml:space="preserve"> </w:t>
      </w:r>
      <w:r>
        <w:rPr>
          <w:rFonts w:cs="Arial" w:ascii="Arial" w:hAnsi="Arial"/>
          <w:sz w:val="20"/>
          <w:szCs w:val="20"/>
        </w:rPr>
        <w:t>16</w:t>
      </w:r>
      <w:r>
        <w:rPr>
          <w:rFonts w:cs="Arial" w:ascii="Arial" w:hAnsi="Arial"/>
          <w:spacing w:val="-3"/>
          <w:sz w:val="20"/>
          <w:szCs w:val="20"/>
        </w:rPr>
        <w:t xml:space="preserve"> </w:t>
      </w:r>
      <w:bookmarkStart w:id="40" w:name="_bookmark18"/>
      <w:bookmarkStart w:id="41" w:name="Art._17_Definizione_delle_controversie_t"/>
      <w:bookmarkEnd w:id="40"/>
      <w:bookmarkEnd w:id="41"/>
      <w:r>
        <w:rPr>
          <w:rFonts w:cs="Arial" w:ascii="Arial" w:hAnsi="Arial"/>
          <w:sz w:val="20"/>
          <w:szCs w:val="20"/>
        </w:rPr>
        <w:t>Definizione</w:t>
      </w:r>
      <w:r>
        <w:rPr>
          <w:rFonts w:cs="Arial" w:ascii="Arial" w:hAnsi="Arial"/>
          <w:spacing w:val="-3"/>
          <w:sz w:val="20"/>
          <w:szCs w:val="20"/>
        </w:rPr>
        <w:t xml:space="preserve"> </w:t>
      </w:r>
      <w:r>
        <w:rPr>
          <w:rFonts w:cs="Arial" w:ascii="Arial" w:hAnsi="Arial"/>
          <w:sz w:val="20"/>
          <w:szCs w:val="20"/>
        </w:rPr>
        <w:t>delle</w:t>
      </w:r>
      <w:r>
        <w:rPr>
          <w:rFonts w:cs="Arial" w:ascii="Arial" w:hAnsi="Arial"/>
          <w:spacing w:val="-3"/>
          <w:sz w:val="20"/>
          <w:szCs w:val="20"/>
        </w:rPr>
        <w:t xml:space="preserve"> </w:t>
      </w:r>
      <w:r>
        <w:rPr>
          <w:rFonts w:cs="Arial" w:ascii="Arial" w:hAnsi="Arial"/>
          <w:sz w:val="20"/>
          <w:szCs w:val="20"/>
        </w:rPr>
        <w:t>controversie</w:t>
      </w:r>
      <w:r>
        <w:rPr>
          <w:rFonts w:cs="Arial" w:ascii="Arial" w:hAnsi="Arial"/>
          <w:spacing w:val="-3"/>
          <w:sz w:val="20"/>
          <w:szCs w:val="20"/>
        </w:rPr>
        <w:t xml:space="preserve"> </w:t>
      </w:r>
      <w:r>
        <w:rPr>
          <w:rFonts w:cs="Arial" w:ascii="Arial" w:hAnsi="Arial"/>
          <w:sz w:val="20"/>
          <w:szCs w:val="20"/>
        </w:rPr>
        <w:t>tra</w:t>
      </w:r>
      <w:r>
        <w:rPr>
          <w:rFonts w:cs="Arial" w:ascii="Arial" w:hAnsi="Arial"/>
          <w:spacing w:val="-4"/>
          <w:sz w:val="20"/>
          <w:szCs w:val="20"/>
        </w:rPr>
        <w:t xml:space="preserve"> </w:t>
      </w:r>
      <w:r>
        <w:rPr>
          <w:rFonts w:cs="Arial" w:ascii="Arial" w:hAnsi="Arial"/>
          <w:sz w:val="20"/>
          <w:szCs w:val="20"/>
        </w:rPr>
        <w:t>le</w:t>
      </w:r>
      <w:r>
        <w:rPr>
          <w:rFonts w:cs="Arial" w:ascii="Arial" w:hAnsi="Arial"/>
          <w:spacing w:val="-3"/>
          <w:sz w:val="20"/>
          <w:szCs w:val="20"/>
        </w:rPr>
        <w:t xml:space="preserve"> </w:t>
      </w:r>
      <w:r>
        <w:rPr>
          <w:rFonts w:cs="Arial" w:ascii="Arial" w:hAnsi="Arial"/>
          <w:sz w:val="20"/>
          <w:szCs w:val="20"/>
        </w:rPr>
        <w:t>Parti</w:t>
      </w:r>
    </w:p>
    <w:p>
      <w:pPr>
        <w:pStyle w:val="ListParagraph"/>
        <w:spacing w:lineRule="auto" w:line="360"/>
        <w:ind w:left="572" w:right="142" w:hanging="0"/>
        <w:rPr>
          <w:rFonts w:ascii="Arial" w:hAnsi="Arial" w:cs="Arial"/>
          <w:sz w:val="20"/>
          <w:szCs w:val="20"/>
        </w:rPr>
      </w:pPr>
      <w:r>
        <w:rPr>
          <w:rFonts w:cs="Arial" w:ascii="Arial" w:hAnsi="Arial"/>
          <w:sz w:val="20"/>
          <w:szCs w:val="20"/>
        </w:rPr>
        <w:t>Per</w:t>
      </w:r>
      <w:r>
        <w:rPr>
          <w:rFonts w:cs="Arial" w:ascii="Arial" w:hAnsi="Arial"/>
          <w:spacing w:val="1"/>
          <w:sz w:val="20"/>
          <w:szCs w:val="20"/>
        </w:rPr>
        <w:t xml:space="preserve"> </w:t>
      </w:r>
      <w:r>
        <w:rPr>
          <w:rFonts w:cs="Arial" w:ascii="Arial" w:hAnsi="Arial"/>
          <w:sz w:val="20"/>
          <w:szCs w:val="20"/>
        </w:rPr>
        <w:t>la</w:t>
      </w:r>
      <w:r>
        <w:rPr>
          <w:rFonts w:cs="Arial" w:ascii="Arial" w:hAnsi="Arial"/>
          <w:spacing w:val="1"/>
          <w:sz w:val="20"/>
          <w:szCs w:val="20"/>
        </w:rPr>
        <w:t xml:space="preserve"> </w:t>
      </w:r>
      <w:r>
        <w:rPr>
          <w:rFonts w:cs="Arial" w:ascii="Arial" w:hAnsi="Arial"/>
          <w:sz w:val="20"/>
          <w:szCs w:val="20"/>
        </w:rPr>
        <w:t>definizione</w:t>
      </w:r>
      <w:r>
        <w:rPr>
          <w:rFonts w:cs="Arial" w:ascii="Arial" w:hAnsi="Arial"/>
          <w:spacing w:val="1"/>
          <w:sz w:val="20"/>
          <w:szCs w:val="20"/>
        </w:rPr>
        <w:t xml:space="preserve"> </w:t>
      </w:r>
      <w:r>
        <w:rPr>
          <w:rFonts w:cs="Arial" w:ascii="Arial" w:hAnsi="Arial"/>
          <w:sz w:val="20"/>
          <w:szCs w:val="20"/>
        </w:rPr>
        <w:t>delle</w:t>
      </w:r>
      <w:r>
        <w:rPr>
          <w:rFonts w:cs="Arial" w:ascii="Arial" w:hAnsi="Arial"/>
          <w:spacing w:val="1"/>
          <w:sz w:val="20"/>
          <w:szCs w:val="20"/>
        </w:rPr>
        <w:t xml:space="preserve"> </w:t>
      </w:r>
      <w:r>
        <w:rPr>
          <w:rFonts w:cs="Arial" w:ascii="Arial" w:hAnsi="Arial"/>
          <w:sz w:val="20"/>
          <w:szCs w:val="20"/>
        </w:rPr>
        <w:t>controversie</w:t>
      </w:r>
      <w:r>
        <w:rPr>
          <w:rFonts w:cs="Arial" w:ascii="Arial" w:hAnsi="Arial"/>
          <w:spacing w:val="1"/>
          <w:sz w:val="20"/>
          <w:szCs w:val="20"/>
        </w:rPr>
        <w:t xml:space="preserve"> </w:t>
      </w:r>
      <w:r>
        <w:rPr>
          <w:rFonts w:cs="Arial" w:ascii="Arial" w:hAnsi="Arial"/>
          <w:sz w:val="20"/>
          <w:szCs w:val="20"/>
        </w:rPr>
        <w:t>derivanti</w:t>
      </w:r>
      <w:r>
        <w:rPr>
          <w:rFonts w:cs="Arial" w:ascii="Arial" w:hAnsi="Arial"/>
          <w:spacing w:val="1"/>
          <w:sz w:val="20"/>
          <w:szCs w:val="20"/>
        </w:rPr>
        <w:t xml:space="preserve"> </w:t>
      </w:r>
      <w:r>
        <w:rPr>
          <w:rFonts w:cs="Arial" w:ascii="Arial" w:hAnsi="Arial"/>
          <w:sz w:val="20"/>
          <w:szCs w:val="20"/>
        </w:rPr>
        <w:t>dall'esecuzione</w:t>
      </w:r>
      <w:r>
        <w:rPr>
          <w:rFonts w:cs="Arial" w:ascii="Arial" w:hAnsi="Arial"/>
          <w:spacing w:val="1"/>
          <w:sz w:val="20"/>
          <w:szCs w:val="20"/>
        </w:rPr>
        <w:t xml:space="preserve"> </w:t>
      </w:r>
      <w:r>
        <w:rPr>
          <w:rFonts w:cs="Arial" w:ascii="Arial" w:hAnsi="Arial"/>
          <w:sz w:val="20"/>
          <w:szCs w:val="20"/>
        </w:rPr>
        <w:t>della</w:t>
      </w:r>
      <w:r>
        <w:rPr>
          <w:rFonts w:cs="Arial" w:ascii="Arial" w:hAnsi="Arial"/>
          <w:spacing w:val="1"/>
          <w:sz w:val="20"/>
          <w:szCs w:val="20"/>
        </w:rPr>
        <w:t xml:space="preserve"> </w:t>
      </w:r>
      <w:r>
        <w:rPr>
          <w:rFonts w:cs="Arial" w:ascii="Arial" w:hAnsi="Arial"/>
          <w:sz w:val="20"/>
          <w:szCs w:val="20"/>
        </w:rPr>
        <w:t>presente</w:t>
      </w:r>
      <w:r>
        <w:rPr>
          <w:rFonts w:cs="Arial" w:ascii="Arial" w:hAnsi="Arial"/>
          <w:spacing w:val="1"/>
          <w:sz w:val="20"/>
          <w:szCs w:val="20"/>
        </w:rPr>
        <w:t xml:space="preserve"> </w:t>
      </w:r>
      <w:r>
        <w:rPr>
          <w:rFonts w:cs="Arial" w:ascii="Arial" w:hAnsi="Arial"/>
          <w:sz w:val="20"/>
          <w:szCs w:val="20"/>
        </w:rPr>
        <w:t>Convenzione che non potranno essere risolte in via amichevole, è competente il Foro</w:t>
      </w:r>
      <w:r>
        <w:rPr>
          <w:rFonts w:cs="Arial" w:ascii="Arial" w:hAnsi="Arial"/>
          <w:spacing w:val="1"/>
          <w:sz w:val="20"/>
          <w:szCs w:val="20"/>
        </w:rPr>
        <w:t xml:space="preserve"> </w:t>
      </w:r>
      <w:r>
        <w:rPr>
          <w:rFonts w:cs="Arial" w:ascii="Arial" w:hAnsi="Arial"/>
          <w:sz w:val="20"/>
          <w:szCs w:val="20"/>
        </w:rPr>
        <w:t>di</w:t>
      </w:r>
      <w:r>
        <w:rPr>
          <w:rFonts w:cs="Arial" w:ascii="Arial" w:hAnsi="Arial"/>
          <w:spacing w:val="-7"/>
          <w:sz w:val="20"/>
          <w:szCs w:val="20"/>
        </w:rPr>
        <w:t xml:space="preserve"> </w:t>
      </w:r>
      <w:r>
        <w:rPr>
          <w:rFonts w:cs="Arial" w:ascii="Arial" w:hAnsi="Arial"/>
          <w:sz w:val="20"/>
          <w:szCs w:val="20"/>
        </w:rPr>
        <w:t>Cagliari.</w:t>
      </w:r>
    </w:p>
    <w:p>
      <w:pPr>
        <w:pStyle w:val="Corpodeltesto"/>
        <w:spacing w:lineRule="auto" w:line="360"/>
        <w:ind w:left="0" w:hanging="0"/>
        <w:jc w:val="left"/>
        <w:rPr>
          <w:rFonts w:ascii="Arial" w:hAnsi="Arial" w:cs="Arial"/>
          <w:sz w:val="20"/>
          <w:szCs w:val="20"/>
        </w:rPr>
      </w:pPr>
      <w:r>
        <w:rPr>
          <w:rFonts w:cs="Arial" w:ascii="Arial" w:hAnsi="Arial"/>
          <w:sz w:val="20"/>
          <w:szCs w:val="20"/>
        </w:rPr>
      </w:r>
    </w:p>
    <w:p>
      <w:pPr>
        <w:pStyle w:val="Titolo1"/>
        <w:spacing w:lineRule="auto" w:line="360"/>
        <w:rPr>
          <w:rFonts w:ascii="Arial" w:hAnsi="Arial" w:cs="Arial"/>
          <w:sz w:val="20"/>
          <w:szCs w:val="20"/>
        </w:rPr>
      </w:pPr>
      <w:bookmarkStart w:id="42" w:name="_bookmark19"/>
      <w:bookmarkStart w:id="43" w:name="Art._18_Rinvio_e_adeguamento_normativo"/>
      <w:bookmarkEnd w:id="42"/>
      <w:bookmarkEnd w:id="43"/>
      <w:r>
        <w:rPr>
          <w:rFonts w:cs="Arial" w:ascii="Arial" w:hAnsi="Arial"/>
          <w:sz w:val="20"/>
          <w:szCs w:val="20"/>
        </w:rPr>
        <w:t>Art.</w:t>
      </w:r>
      <w:r>
        <w:rPr>
          <w:rFonts w:cs="Arial" w:ascii="Arial" w:hAnsi="Arial"/>
          <w:spacing w:val="-4"/>
          <w:sz w:val="20"/>
          <w:szCs w:val="20"/>
        </w:rPr>
        <w:t xml:space="preserve"> </w:t>
      </w:r>
      <w:r>
        <w:rPr>
          <w:rFonts w:cs="Arial" w:ascii="Arial" w:hAnsi="Arial"/>
          <w:sz w:val="20"/>
          <w:szCs w:val="20"/>
        </w:rPr>
        <w:t>17</w:t>
      </w:r>
      <w:r>
        <w:rPr>
          <w:rFonts w:cs="Arial" w:ascii="Arial" w:hAnsi="Arial"/>
          <w:spacing w:val="-4"/>
          <w:sz w:val="20"/>
          <w:szCs w:val="20"/>
        </w:rPr>
        <w:t xml:space="preserve"> </w:t>
      </w:r>
      <w:r>
        <w:rPr>
          <w:rFonts w:cs="Arial" w:ascii="Arial" w:hAnsi="Arial"/>
          <w:sz w:val="20"/>
          <w:szCs w:val="20"/>
        </w:rPr>
        <w:t>Rinvio</w:t>
      </w:r>
      <w:r>
        <w:rPr>
          <w:rFonts w:cs="Arial" w:ascii="Arial" w:hAnsi="Arial"/>
          <w:spacing w:val="-3"/>
          <w:sz w:val="20"/>
          <w:szCs w:val="20"/>
        </w:rPr>
        <w:t xml:space="preserve"> </w:t>
      </w:r>
      <w:r>
        <w:rPr>
          <w:rFonts w:cs="Arial" w:ascii="Arial" w:hAnsi="Arial"/>
          <w:sz w:val="20"/>
          <w:szCs w:val="20"/>
        </w:rPr>
        <w:t>e</w:t>
      </w:r>
      <w:r>
        <w:rPr>
          <w:rFonts w:cs="Arial" w:ascii="Arial" w:hAnsi="Arial"/>
          <w:spacing w:val="-3"/>
          <w:sz w:val="20"/>
          <w:szCs w:val="20"/>
        </w:rPr>
        <w:t xml:space="preserve"> </w:t>
      </w:r>
      <w:r>
        <w:rPr>
          <w:rFonts w:cs="Arial" w:ascii="Arial" w:hAnsi="Arial"/>
          <w:sz w:val="20"/>
          <w:szCs w:val="20"/>
        </w:rPr>
        <w:t>adeguamento</w:t>
      </w:r>
      <w:r>
        <w:rPr>
          <w:rFonts w:cs="Arial" w:ascii="Arial" w:hAnsi="Arial"/>
          <w:spacing w:val="-3"/>
          <w:sz w:val="20"/>
          <w:szCs w:val="20"/>
        </w:rPr>
        <w:t xml:space="preserve"> </w:t>
      </w:r>
      <w:r>
        <w:rPr>
          <w:rFonts w:cs="Arial" w:ascii="Arial" w:hAnsi="Arial"/>
          <w:sz w:val="20"/>
          <w:szCs w:val="20"/>
        </w:rPr>
        <w:t>normativo</w:t>
      </w:r>
    </w:p>
    <w:p>
      <w:pPr>
        <w:pStyle w:val="ListParagraph"/>
        <w:numPr>
          <w:ilvl w:val="0"/>
          <w:numId w:val="15"/>
        </w:numPr>
        <w:spacing w:lineRule="auto" w:line="360"/>
        <w:ind w:left="572" w:right="142" w:hanging="360"/>
        <w:rPr>
          <w:rFonts w:ascii="Arial" w:hAnsi="Arial" w:cs="Arial"/>
          <w:sz w:val="20"/>
          <w:szCs w:val="20"/>
        </w:rPr>
      </w:pPr>
      <w:r>
        <w:rPr>
          <w:rFonts w:cs="Arial" w:ascii="Arial" w:hAnsi="Arial"/>
          <w:sz w:val="20"/>
          <w:szCs w:val="20"/>
        </w:rPr>
        <w:t>Per quanto non previsto dalla presente convenzione, si rinvia alle disposizioni del D.Lgs.36/2023 e al D.Lgs. 267/2000, nonché agli altri atti richiamati nelle premesse e alla normativa applicabile in materia di PNRR e PNC, ove rilevante.</w:t>
      </w:r>
    </w:p>
    <w:p>
      <w:pPr>
        <w:pStyle w:val="ListParagraph"/>
        <w:numPr>
          <w:ilvl w:val="0"/>
          <w:numId w:val="15"/>
        </w:numPr>
        <w:spacing w:lineRule="auto" w:line="360"/>
        <w:ind w:left="572" w:right="142" w:hanging="360"/>
        <w:rPr>
          <w:rFonts w:ascii="Arial" w:hAnsi="Arial" w:cs="Arial"/>
          <w:sz w:val="20"/>
          <w:szCs w:val="20"/>
        </w:rPr>
      </w:pPr>
      <w:r>
        <w:rPr>
          <w:rFonts w:cs="Arial" w:ascii="Arial" w:hAnsi="Arial"/>
          <w:sz w:val="20"/>
          <w:szCs w:val="20"/>
        </w:rPr>
        <w:t>Le clausole della presente Convenzione che recano riferimenti al D.Lgs. 36/2023 nonché ai provvedimenti attuativi dello stesso e ad altre disposizioni di legge inerenti agli appalti e ai contratti pubblici, si intendono automaticamente adeguate alle eventuali modificazioni e/o integrazioni sopravvenute.</w:t>
      </w:r>
    </w:p>
    <w:p>
      <w:pPr>
        <w:pStyle w:val="ListParagraph"/>
        <w:numPr>
          <w:ilvl w:val="0"/>
          <w:numId w:val="15"/>
        </w:numPr>
        <w:spacing w:lineRule="auto" w:line="360"/>
        <w:ind w:left="572" w:right="142" w:hanging="360"/>
        <w:rPr>
          <w:rFonts w:ascii="Arial" w:hAnsi="Arial" w:cs="Arial"/>
          <w:sz w:val="20"/>
          <w:szCs w:val="20"/>
        </w:rPr>
      </w:pPr>
      <w:r>
        <w:rPr>
          <w:rFonts w:cs="Arial" w:ascii="Arial" w:hAnsi="Arial"/>
          <w:sz w:val="20"/>
          <w:szCs w:val="20"/>
        </w:rPr>
        <w:t>Qualora, per effetto delle disposizioni sopravvenute, si renda necessario disciplinare nuovamente una o più clausole di cui alla presente Convenzione, per renderle coerenti con la normativa vigente, entrambe le parti possono proporre le modifiche o integrazioni all’altra parte, al fine di addivenire ad un accordo da sottoporre all’approvazione dei rispettivi organi competenti.</w:t>
      </w:r>
    </w:p>
    <w:p>
      <w:pPr>
        <w:pStyle w:val="Corpodeltesto"/>
        <w:spacing w:lineRule="auto" w:line="360"/>
        <w:ind w:left="0" w:hanging="0"/>
        <w:jc w:val="left"/>
        <w:rPr>
          <w:rFonts w:ascii="Arial" w:hAnsi="Arial" w:cs="Arial"/>
          <w:sz w:val="20"/>
          <w:szCs w:val="20"/>
        </w:rPr>
      </w:pPr>
      <w:r>
        <w:rPr>
          <w:rFonts w:cs="Arial" w:ascii="Arial" w:hAnsi="Arial"/>
          <w:sz w:val="20"/>
          <w:szCs w:val="20"/>
        </w:rPr>
      </w:r>
    </w:p>
    <w:p>
      <w:pPr>
        <w:pStyle w:val="Titolo1"/>
        <w:spacing w:lineRule="auto" w:line="360"/>
        <w:rPr>
          <w:rFonts w:ascii="Arial" w:hAnsi="Arial" w:cs="Arial"/>
          <w:sz w:val="20"/>
          <w:szCs w:val="20"/>
        </w:rPr>
      </w:pPr>
      <w:bookmarkStart w:id="44" w:name="_bookmark20"/>
      <w:bookmarkStart w:id="45" w:name="Art._19_Registrazione"/>
      <w:bookmarkEnd w:id="44"/>
      <w:bookmarkEnd w:id="45"/>
      <w:r>
        <w:rPr>
          <w:rFonts w:cs="Arial" w:ascii="Arial" w:hAnsi="Arial"/>
          <w:sz w:val="20"/>
          <w:szCs w:val="20"/>
        </w:rPr>
        <w:t>Art.</w:t>
      </w:r>
      <w:r>
        <w:rPr>
          <w:rFonts w:cs="Arial" w:ascii="Arial" w:hAnsi="Arial"/>
          <w:spacing w:val="-5"/>
          <w:sz w:val="20"/>
          <w:szCs w:val="20"/>
        </w:rPr>
        <w:t xml:space="preserve"> </w:t>
      </w:r>
      <w:r>
        <w:rPr>
          <w:rFonts w:cs="Arial" w:ascii="Arial" w:hAnsi="Arial"/>
          <w:sz w:val="20"/>
          <w:szCs w:val="20"/>
        </w:rPr>
        <w:t>19</w:t>
      </w:r>
      <w:r>
        <w:rPr>
          <w:rFonts w:cs="Arial" w:ascii="Arial" w:hAnsi="Arial"/>
          <w:spacing w:val="-4"/>
          <w:sz w:val="20"/>
          <w:szCs w:val="20"/>
        </w:rPr>
        <w:t xml:space="preserve"> </w:t>
      </w:r>
      <w:r>
        <w:rPr>
          <w:rFonts w:cs="Arial" w:ascii="Arial" w:hAnsi="Arial"/>
          <w:sz w:val="20"/>
          <w:szCs w:val="20"/>
        </w:rPr>
        <w:t>Registrazione</w:t>
      </w:r>
    </w:p>
    <w:p>
      <w:pPr>
        <w:pStyle w:val="ListParagraph"/>
        <w:spacing w:lineRule="auto" w:line="360"/>
        <w:ind w:left="572" w:right="142" w:hanging="0"/>
        <w:rPr>
          <w:rFonts w:ascii="Arial" w:hAnsi="Arial" w:cs="Arial"/>
          <w:sz w:val="20"/>
          <w:szCs w:val="20"/>
        </w:rPr>
      </w:pPr>
      <w:r>
        <w:rPr>
          <w:rFonts w:cs="Arial" w:ascii="Arial" w:hAnsi="Arial"/>
          <w:sz w:val="20"/>
          <w:szCs w:val="20"/>
        </w:rPr>
        <w:t>La presente convenzione verrà registrata solo in caso d'uso, ai sensi del D.P.R. 26.04.1986, n. 131.</w:t>
      </w:r>
    </w:p>
    <w:p>
      <w:pPr>
        <w:pStyle w:val="Corpodeltesto"/>
        <w:spacing w:lineRule="auto" w:line="360"/>
        <w:ind w:left="0" w:hanging="0"/>
        <w:jc w:val="left"/>
        <w:rPr>
          <w:rFonts w:ascii="Arial" w:hAnsi="Arial" w:cs="Arial"/>
          <w:sz w:val="20"/>
          <w:szCs w:val="20"/>
        </w:rPr>
      </w:pPr>
      <w:r>
        <w:rPr>
          <w:rFonts w:cs="Arial" w:ascii="Arial" w:hAnsi="Arial"/>
          <w:sz w:val="20"/>
          <w:szCs w:val="20"/>
        </w:rPr>
      </w:r>
    </w:p>
    <w:p>
      <w:pPr>
        <w:pStyle w:val="Titolo1"/>
        <w:spacing w:lineRule="auto" w:line="360"/>
        <w:rPr>
          <w:rFonts w:ascii="Arial" w:hAnsi="Arial" w:cs="Arial"/>
          <w:sz w:val="20"/>
          <w:szCs w:val="20"/>
        </w:rPr>
      </w:pPr>
      <w:bookmarkStart w:id="46" w:name="_bookmark21"/>
      <w:bookmarkStart w:id="47" w:name="Art._20_Trattamento_dei_dati_personali"/>
      <w:bookmarkEnd w:id="46"/>
      <w:bookmarkEnd w:id="47"/>
      <w:r>
        <w:rPr>
          <w:rFonts w:cs="Arial" w:ascii="Arial" w:hAnsi="Arial"/>
          <w:sz w:val="20"/>
          <w:szCs w:val="20"/>
        </w:rPr>
        <w:t>Art.</w:t>
      </w:r>
      <w:r>
        <w:rPr>
          <w:rFonts w:cs="Arial" w:ascii="Arial" w:hAnsi="Arial"/>
          <w:spacing w:val="-8"/>
          <w:sz w:val="20"/>
          <w:szCs w:val="20"/>
        </w:rPr>
        <w:t xml:space="preserve"> </w:t>
      </w:r>
      <w:r>
        <w:rPr>
          <w:rFonts w:cs="Arial" w:ascii="Arial" w:hAnsi="Arial"/>
          <w:sz w:val="20"/>
          <w:szCs w:val="20"/>
        </w:rPr>
        <w:t>20</w:t>
      </w:r>
      <w:r>
        <w:rPr>
          <w:rFonts w:cs="Arial" w:ascii="Arial" w:hAnsi="Arial"/>
          <w:spacing w:val="-11"/>
          <w:sz w:val="20"/>
          <w:szCs w:val="20"/>
        </w:rPr>
        <w:t xml:space="preserve"> </w:t>
      </w:r>
      <w:r>
        <w:rPr>
          <w:rFonts w:cs="Arial" w:ascii="Arial" w:hAnsi="Arial"/>
          <w:sz w:val="20"/>
          <w:szCs w:val="20"/>
        </w:rPr>
        <w:t>Trattamento</w:t>
      </w:r>
      <w:r>
        <w:rPr>
          <w:rFonts w:cs="Arial" w:ascii="Arial" w:hAnsi="Arial"/>
          <w:spacing w:val="-8"/>
          <w:sz w:val="20"/>
          <w:szCs w:val="20"/>
        </w:rPr>
        <w:t xml:space="preserve"> </w:t>
      </w:r>
      <w:r>
        <w:rPr>
          <w:rFonts w:cs="Arial" w:ascii="Arial" w:hAnsi="Arial"/>
          <w:sz w:val="20"/>
          <w:szCs w:val="20"/>
        </w:rPr>
        <w:t>dei</w:t>
      </w:r>
      <w:r>
        <w:rPr>
          <w:rFonts w:cs="Arial" w:ascii="Arial" w:hAnsi="Arial"/>
          <w:spacing w:val="-7"/>
          <w:sz w:val="20"/>
          <w:szCs w:val="20"/>
        </w:rPr>
        <w:t xml:space="preserve"> </w:t>
      </w:r>
      <w:r>
        <w:rPr>
          <w:rFonts w:cs="Arial" w:ascii="Arial" w:hAnsi="Arial"/>
          <w:sz w:val="20"/>
          <w:szCs w:val="20"/>
        </w:rPr>
        <w:t>dati</w:t>
      </w:r>
      <w:r>
        <w:rPr>
          <w:rFonts w:cs="Arial" w:ascii="Arial" w:hAnsi="Arial"/>
          <w:spacing w:val="-7"/>
          <w:sz w:val="20"/>
          <w:szCs w:val="20"/>
        </w:rPr>
        <w:t xml:space="preserve"> </w:t>
      </w:r>
      <w:r>
        <w:rPr>
          <w:rFonts w:cs="Arial" w:ascii="Arial" w:hAnsi="Arial"/>
          <w:sz w:val="20"/>
          <w:szCs w:val="20"/>
        </w:rPr>
        <w:t>personali</w:t>
      </w:r>
    </w:p>
    <w:p>
      <w:pPr>
        <w:pStyle w:val="ListParagraph"/>
        <w:numPr>
          <w:ilvl w:val="0"/>
          <w:numId w:val="16"/>
        </w:numPr>
        <w:spacing w:lineRule="auto" w:line="360"/>
        <w:ind w:left="572" w:right="142" w:hanging="360"/>
        <w:rPr>
          <w:rFonts w:ascii="Arial" w:hAnsi="Arial" w:cs="Arial"/>
          <w:sz w:val="20"/>
          <w:szCs w:val="20"/>
        </w:rPr>
      </w:pPr>
      <w:r>
        <w:rPr>
          <w:rFonts w:cs="Arial" w:ascii="Arial" w:hAnsi="Arial"/>
          <w:sz w:val="20"/>
          <w:szCs w:val="20"/>
        </w:rPr>
        <w:t>Tutti i dati personali sono utilizzati dagli enti partecipanti per soli fini istituzionali, assicurando la protezione e la riservatezza delle informazioni secondo la normativa vigente in materia.</w:t>
      </w:r>
    </w:p>
    <w:p>
      <w:pPr>
        <w:pStyle w:val="ListParagraph"/>
        <w:numPr>
          <w:ilvl w:val="0"/>
          <w:numId w:val="16"/>
        </w:numPr>
        <w:spacing w:lineRule="auto" w:line="360"/>
        <w:ind w:left="572" w:right="142" w:hanging="360"/>
        <w:rPr>
          <w:rFonts w:ascii="Arial" w:hAnsi="Arial" w:cs="Arial"/>
          <w:sz w:val="20"/>
          <w:szCs w:val="20"/>
        </w:rPr>
      </w:pPr>
      <w:r>
        <w:rPr>
          <w:rFonts w:cs="Arial" w:ascii="Arial" w:hAnsi="Arial"/>
          <w:sz w:val="20"/>
          <w:szCs w:val="20"/>
        </w:rPr>
        <w:t>I dati di cui la S.U.A. verrà in possesso nell’espletamento delle attività di cui alla presente convenzione saranno finalizzati all’espletamento delle procedure di gara, compresi gli atti connessi e consequenziali, e saranno trattati nelle forme e nei modi stabiliti dal Regolamento 679/2016 e, ove ancora applicabile, dal D.lgs. 196/2003.</w:t>
      </w:r>
    </w:p>
    <w:p>
      <w:pPr>
        <w:pStyle w:val="Corpodeltesto"/>
        <w:spacing w:lineRule="auto" w:line="360"/>
        <w:ind w:left="0" w:hanging="0"/>
        <w:jc w:val="left"/>
        <w:rPr>
          <w:rFonts w:ascii="Arial" w:hAnsi="Arial" w:cs="Arial"/>
          <w:sz w:val="20"/>
          <w:szCs w:val="20"/>
        </w:rPr>
      </w:pPr>
      <w:r>
        <w:rPr>
          <w:rFonts w:cs="Arial" w:ascii="Arial" w:hAnsi="Arial"/>
          <w:sz w:val="20"/>
          <w:szCs w:val="20"/>
        </w:rPr>
      </w:r>
    </w:p>
    <w:p>
      <w:pPr>
        <w:pStyle w:val="Corpodeltesto"/>
        <w:spacing w:lineRule="auto" w:line="360"/>
        <w:ind w:left="0" w:hanging="0"/>
        <w:jc w:val="left"/>
        <w:rPr>
          <w:rFonts w:ascii="Arial" w:hAnsi="Arial" w:cs="Arial"/>
          <w:sz w:val="20"/>
          <w:szCs w:val="20"/>
        </w:rPr>
      </w:pPr>
      <w:r>
        <w:rPr>
          <w:rFonts w:cs="Arial" w:ascii="Arial" w:hAnsi="Arial"/>
          <w:sz w:val="20"/>
          <w:szCs w:val="20"/>
        </w:rPr>
      </w:r>
    </w:p>
    <w:p>
      <w:pPr>
        <w:pStyle w:val="Corpodeltesto"/>
        <w:spacing w:lineRule="auto" w:line="360"/>
        <w:rPr>
          <w:rFonts w:ascii="Arial" w:hAnsi="Arial" w:cs="Arial"/>
          <w:sz w:val="20"/>
          <w:szCs w:val="20"/>
        </w:rPr>
      </w:pPr>
      <w:r>
        <w:rPr>
          <w:rFonts w:cs="Arial" w:ascii="Arial" w:hAnsi="Arial"/>
          <w:sz w:val="20"/>
          <w:szCs w:val="20"/>
        </w:rPr>
        <w:t>Letto,</w:t>
      </w:r>
      <w:r>
        <w:rPr>
          <w:rFonts w:cs="Arial" w:ascii="Arial" w:hAnsi="Arial"/>
          <w:spacing w:val="-2"/>
          <w:sz w:val="20"/>
          <w:szCs w:val="20"/>
        </w:rPr>
        <w:t xml:space="preserve"> </w:t>
      </w:r>
      <w:r>
        <w:rPr>
          <w:rFonts w:cs="Arial" w:ascii="Arial" w:hAnsi="Arial"/>
          <w:sz w:val="20"/>
          <w:szCs w:val="20"/>
        </w:rPr>
        <w:t>approvato</w:t>
      </w:r>
      <w:r>
        <w:rPr>
          <w:rFonts w:cs="Arial" w:ascii="Arial" w:hAnsi="Arial"/>
          <w:spacing w:val="-2"/>
          <w:sz w:val="20"/>
          <w:szCs w:val="20"/>
        </w:rPr>
        <w:t xml:space="preserve"> </w:t>
      </w:r>
      <w:r>
        <w:rPr>
          <w:rFonts w:cs="Arial" w:ascii="Arial" w:hAnsi="Arial"/>
          <w:sz w:val="20"/>
          <w:szCs w:val="20"/>
        </w:rPr>
        <w:t>e</w:t>
      </w:r>
      <w:r>
        <w:rPr>
          <w:rFonts w:cs="Arial" w:ascii="Arial" w:hAnsi="Arial"/>
          <w:spacing w:val="-3"/>
          <w:sz w:val="20"/>
          <w:szCs w:val="20"/>
        </w:rPr>
        <w:t xml:space="preserve"> </w:t>
      </w:r>
      <w:r>
        <w:rPr>
          <w:rFonts w:cs="Arial" w:ascii="Arial" w:hAnsi="Arial"/>
          <w:sz w:val="20"/>
          <w:szCs w:val="20"/>
        </w:rPr>
        <w:t>sottoscritto</w:t>
      </w:r>
      <w:r>
        <w:rPr>
          <w:rFonts w:cs="Arial" w:ascii="Arial" w:hAnsi="Arial"/>
          <w:spacing w:val="-2"/>
          <w:sz w:val="20"/>
          <w:szCs w:val="20"/>
        </w:rPr>
        <w:t xml:space="preserve"> </w:t>
      </w:r>
      <w:r>
        <w:rPr>
          <w:rFonts w:cs="Arial" w:ascii="Arial" w:hAnsi="Arial"/>
          <w:sz w:val="20"/>
          <w:szCs w:val="20"/>
        </w:rPr>
        <w:t>con</w:t>
      </w:r>
      <w:r>
        <w:rPr>
          <w:rFonts w:cs="Arial" w:ascii="Arial" w:hAnsi="Arial"/>
          <w:spacing w:val="-2"/>
          <w:sz w:val="20"/>
          <w:szCs w:val="20"/>
        </w:rPr>
        <w:t xml:space="preserve"> </w:t>
      </w:r>
      <w:r>
        <w:rPr>
          <w:rFonts w:cs="Arial" w:ascii="Arial" w:hAnsi="Arial"/>
          <w:sz w:val="20"/>
          <w:szCs w:val="20"/>
        </w:rPr>
        <w:t>firme</w:t>
      </w:r>
      <w:r>
        <w:rPr>
          <w:rFonts w:cs="Arial" w:ascii="Arial" w:hAnsi="Arial"/>
          <w:spacing w:val="-3"/>
          <w:sz w:val="20"/>
          <w:szCs w:val="20"/>
        </w:rPr>
        <w:t xml:space="preserve"> </w:t>
      </w:r>
      <w:r>
        <w:rPr>
          <w:rFonts w:cs="Arial" w:ascii="Arial" w:hAnsi="Arial"/>
          <w:sz w:val="20"/>
          <w:szCs w:val="20"/>
        </w:rPr>
        <w:t>digitali.</w:t>
      </w:r>
    </w:p>
    <w:p>
      <w:pPr>
        <w:pStyle w:val="Normal"/>
        <w:tabs>
          <w:tab w:val="clear" w:pos="720"/>
          <w:tab w:val="left" w:pos="484" w:leader="none"/>
        </w:tabs>
        <w:spacing w:lineRule="auto" w:line="360"/>
        <w:ind w:right="116" w:hanging="0"/>
        <w:rPr>
          <w:rFonts w:ascii="Arial" w:hAnsi="Arial" w:cs="Arial"/>
          <w:sz w:val="20"/>
          <w:szCs w:val="20"/>
        </w:rPr>
      </w:pPr>
      <w:r>
        <w:rPr>
          <w:rFonts w:cs="Arial" w:ascii="Arial" w:hAnsi="Arial"/>
          <w:sz w:val="20"/>
          <w:szCs w:val="20"/>
        </w:rPr>
        <w:tab/>
        <w:t>al decreto legislativo n. 33/2013 e dalla legge</w:t>
      </w:r>
      <w:r>
        <w:rPr>
          <w:rFonts w:cs="Arial" w:ascii="Arial" w:hAnsi="Arial"/>
          <w:spacing w:val="1"/>
          <w:sz w:val="20"/>
          <w:szCs w:val="20"/>
        </w:rPr>
        <w:t xml:space="preserve"> </w:t>
      </w:r>
      <w:r>
        <w:rPr>
          <w:rFonts w:cs="Arial" w:ascii="Arial" w:hAnsi="Arial"/>
          <w:sz w:val="20"/>
          <w:szCs w:val="20"/>
        </w:rPr>
        <w:t>190/2012,</w:t>
      </w:r>
      <w:r>
        <w:rPr>
          <w:rFonts w:cs="Arial" w:ascii="Arial" w:hAnsi="Arial"/>
          <w:spacing w:val="-1"/>
          <w:sz w:val="20"/>
          <w:szCs w:val="20"/>
        </w:rPr>
        <w:t xml:space="preserve"> </w:t>
      </w:r>
      <w:r>
        <w:rPr>
          <w:rFonts w:cs="Arial" w:ascii="Arial" w:hAnsi="Arial"/>
          <w:sz w:val="20"/>
          <w:szCs w:val="20"/>
        </w:rPr>
        <w:t>per quanto</w:t>
      </w:r>
      <w:r>
        <w:rPr>
          <w:rFonts w:cs="Arial" w:ascii="Arial" w:hAnsi="Arial"/>
          <w:spacing w:val="1"/>
          <w:sz w:val="20"/>
          <w:szCs w:val="20"/>
        </w:rPr>
        <w:t xml:space="preserve"> </w:t>
      </w:r>
      <w:r>
        <w:rPr>
          <w:rFonts w:cs="Arial" w:ascii="Arial" w:hAnsi="Arial"/>
          <w:sz w:val="20"/>
          <w:szCs w:val="20"/>
        </w:rPr>
        <w:t>di propria</w:t>
      </w:r>
      <w:r>
        <w:rPr>
          <w:rFonts w:cs="Arial" w:ascii="Arial" w:hAnsi="Arial"/>
          <w:spacing w:val="-1"/>
          <w:sz w:val="20"/>
          <w:szCs w:val="20"/>
        </w:rPr>
        <w:t xml:space="preserve"> </w:t>
      </w:r>
      <w:r>
        <w:rPr>
          <w:rFonts w:cs="Arial" w:ascii="Arial" w:hAnsi="Arial"/>
          <w:sz w:val="20"/>
          <w:szCs w:val="20"/>
        </w:rPr>
        <w:t>competenza;</w:t>
      </w:r>
    </w:p>
    <w:p>
      <w:pPr>
        <w:pStyle w:val="ListParagraph"/>
        <w:tabs>
          <w:tab w:val="clear" w:pos="720"/>
          <w:tab w:val="left" w:pos="612" w:leader="none"/>
        </w:tabs>
        <w:spacing w:lineRule="auto" w:line="360" w:before="0" w:after="0"/>
        <w:ind w:left="157" w:right="116" w:hanging="0"/>
        <w:rPr>
          <w:rFonts w:ascii="Arial" w:hAnsi="Arial" w:cs="Arial"/>
          <w:sz w:val="20"/>
          <w:szCs w:val="20"/>
        </w:rPr>
      </w:pPr>
      <w:r>
        <w:rPr/>
      </w:r>
    </w:p>
    <w:sectPr>
      <w:type w:val="nextPage"/>
      <w:pgSz w:w="11906" w:h="16838"/>
      <w:pgMar w:left="880" w:right="1020" w:gutter="0" w:header="0" w:top="1060" w:footer="0" w:bottom="56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swiss"/>
    <w:pitch w:val="variable"/>
  </w:font>
  <w:font w:name="Arial">
    <w:charset w:val="00"/>
    <w:family w:val="roman"/>
    <w:pitch w:val="variable"/>
  </w:font>
  <w:font w:name="Times New Roman">
    <w:charset w:val="01"/>
    <w:family w:val="roman"/>
    <w:pitch w:val="variable"/>
  </w:font>
  <w:font w:name="Wingdings">
    <w:charset w:val="02"/>
    <w:family w:val="auto"/>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100" w:hanging="168"/>
      </w:pPr>
      <w:rPr>
        <w:rFonts w:ascii="Times New Roman" w:hAnsi="Times New Roman" w:cs="Times New Roman" w:hint="default"/>
        <w:sz w:val="28"/>
        <w:w w:val="100"/>
      </w:rPr>
    </w:lvl>
    <w:lvl w:ilvl="1">
      <w:start w:val="0"/>
      <w:numFmt w:val="bullet"/>
      <w:lvlText w:val="l"/>
      <w:lvlJc w:val="left"/>
      <w:pPr>
        <w:tabs>
          <w:tab w:val="num" w:pos="0"/>
        </w:tabs>
        <w:ind w:left="968" w:hanging="360"/>
      </w:pPr>
      <w:rPr>
        <w:rFonts w:ascii="Wingdings" w:hAnsi="Wingdings" w:cs="Wingdings" w:hint="default"/>
        <w:w w:val="100"/>
      </w:rPr>
    </w:lvl>
    <w:lvl w:ilvl="2">
      <w:start w:val="1"/>
      <w:numFmt w:val="bullet"/>
      <w:lvlText w:val=""/>
      <w:lvlJc w:val="left"/>
      <w:pPr>
        <w:tabs>
          <w:tab w:val="num" w:pos="0"/>
        </w:tabs>
        <w:ind w:left="968" w:hanging="344"/>
      </w:pPr>
      <w:rPr>
        <w:rFonts w:ascii="Symbol" w:hAnsi="Symbol" w:cs="Symbol" w:hint="default"/>
        <w:sz w:val="28"/>
        <w:spacing w:val="-1"/>
        <w:w w:val="100"/>
      </w:rPr>
    </w:lvl>
    <w:lvl w:ilvl="3">
      <w:start w:val="0"/>
      <w:numFmt w:val="bullet"/>
      <w:lvlText w:val=""/>
      <w:lvlJc w:val="left"/>
      <w:pPr>
        <w:tabs>
          <w:tab w:val="num" w:pos="0"/>
        </w:tabs>
        <w:ind w:left="2969" w:hanging="344"/>
      </w:pPr>
      <w:rPr>
        <w:rFonts w:ascii="Symbol" w:hAnsi="Symbol" w:cs="Symbol" w:hint="default"/>
      </w:rPr>
    </w:lvl>
    <w:lvl w:ilvl="4">
      <w:start w:val="0"/>
      <w:numFmt w:val="bullet"/>
      <w:lvlText w:val=""/>
      <w:lvlJc w:val="left"/>
      <w:pPr>
        <w:tabs>
          <w:tab w:val="num" w:pos="0"/>
        </w:tabs>
        <w:ind w:left="3974" w:hanging="344"/>
      </w:pPr>
      <w:rPr>
        <w:rFonts w:ascii="Symbol" w:hAnsi="Symbol" w:cs="Symbol" w:hint="default"/>
      </w:rPr>
    </w:lvl>
    <w:lvl w:ilvl="5">
      <w:start w:val="0"/>
      <w:numFmt w:val="bullet"/>
      <w:lvlText w:val=""/>
      <w:lvlJc w:val="left"/>
      <w:pPr>
        <w:tabs>
          <w:tab w:val="num" w:pos="0"/>
        </w:tabs>
        <w:ind w:left="4979" w:hanging="344"/>
      </w:pPr>
      <w:rPr>
        <w:rFonts w:ascii="Symbol" w:hAnsi="Symbol" w:cs="Symbol" w:hint="default"/>
      </w:rPr>
    </w:lvl>
    <w:lvl w:ilvl="6">
      <w:start w:val="0"/>
      <w:numFmt w:val="bullet"/>
      <w:lvlText w:val=""/>
      <w:lvlJc w:val="left"/>
      <w:pPr>
        <w:tabs>
          <w:tab w:val="num" w:pos="0"/>
        </w:tabs>
        <w:ind w:left="5984" w:hanging="344"/>
      </w:pPr>
      <w:rPr>
        <w:rFonts w:ascii="Symbol" w:hAnsi="Symbol" w:cs="Symbol" w:hint="default"/>
      </w:rPr>
    </w:lvl>
    <w:lvl w:ilvl="7">
      <w:start w:val="0"/>
      <w:numFmt w:val="bullet"/>
      <w:lvlText w:val=""/>
      <w:lvlJc w:val="left"/>
      <w:pPr>
        <w:tabs>
          <w:tab w:val="num" w:pos="0"/>
        </w:tabs>
        <w:ind w:left="6989" w:hanging="344"/>
      </w:pPr>
      <w:rPr>
        <w:rFonts w:ascii="Symbol" w:hAnsi="Symbol" w:cs="Symbol" w:hint="default"/>
      </w:rPr>
    </w:lvl>
    <w:lvl w:ilvl="8">
      <w:start w:val="0"/>
      <w:numFmt w:val="bullet"/>
      <w:lvlText w:val=""/>
      <w:lvlJc w:val="left"/>
      <w:pPr>
        <w:tabs>
          <w:tab w:val="num" w:pos="0"/>
        </w:tabs>
        <w:ind w:left="7994" w:hanging="344"/>
      </w:pPr>
      <w:rPr>
        <w:rFonts w:ascii="Symbol" w:hAnsi="Symbol" w:cs="Symbol" w:hint="default"/>
      </w:rPr>
    </w:lvl>
  </w:abstractNum>
  <w:abstractNum w:abstractNumId="2">
    <w:lvl w:ilvl="0">
      <w:start w:val="1"/>
      <w:numFmt w:val="bullet"/>
      <w:lvlText w:val=""/>
      <w:lvlJc w:val="left"/>
      <w:pPr>
        <w:tabs>
          <w:tab w:val="num" w:pos="0"/>
        </w:tabs>
        <w:ind w:left="1688" w:hanging="360"/>
      </w:pPr>
      <w:rPr>
        <w:rFonts w:ascii="Symbol" w:hAnsi="Symbol" w:cs="Symbol" w:hint="default"/>
        <w:color w:val="auto"/>
      </w:rPr>
    </w:lvl>
    <w:lvl w:ilvl="1">
      <w:start w:val="1"/>
      <w:numFmt w:val="lowerLetter"/>
      <w:lvlText w:val="%2."/>
      <w:lvlJc w:val="left"/>
      <w:pPr>
        <w:tabs>
          <w:tab w:val="num" w:pos="0"/>
        </w:tabs>
        <w:ind w:left="2408" w:hanging="360"/>
      </w:pPr>
      <w:rPr>
        <w:rFonts w:cs="Times New Roman"/>
      </w:rPr>
    </w:lvl>
    <w:lvl w:ilvl="2">
      <w:start w:val="1"/>
      <w:numFmt w:val="lowerRoman"/>
      <w:lvlText w:val="%3."/>
      <w:lvlJc w:val="right"/>
      <w:pPr>
        <w:tabs>
          <w:tab w:val="num" w:pos="0"/>
        </w:tabs>
        <w:ind w:left="3128" w:hanging="180"/>
      </w:pPr>
      <w:rPr>
        <w:rFonts w:cs="Times New Roman"/>
      </w:rPr>
    </w:lvl>
    <w:lvl w:ilvl="3">
      <w:start w:val="1"/>
      <w:numFmt w:val="decimal"/>
      <w:lvlText w:val="%4."/>
      <w:lvlJc w:val="left"/>
      <w:pPr>
        <w:tabs>
          <w:tab w:val="num" w:pos="0"/>
        </w:tabs>
        <w:ind w:left="3848" w:hanging="360"/>
      </w:pPr>
      <w:rPr>
        <w:rFonts w:cs="Times New Roman"/>
      </w:rPr>
    </w:lvl>
    <w:lvl w:ilvl="4">
      <w:start w:val="1"/>
      <w:numFmt w:val="lowerLetter"/>
      <w:lvlText w:val="%5."/>
      <w:lvlJc w:val="left"/>
      <w:pPr>
        <w:tabs>
          <w:tab w:val="num" w:pos="0"/>
        </w:tabs>
        <w:ind w:left="4568" w:hanging="360"/>
      </w:pPr>
      <w:rPr>
        <w:rFonts w:cs="Times New Roman"/>
      </w:rPr>
    </w:lvl>
    <w:lvl w:ilvl="5">
      <w:start w:val="1"/>
      <w:numFmt w:val="lowerRoman"/>
      <w:lvlText w:val="%6."/>
      <w:lvlJc w:val="right"/>
      <w:pPr>
        <w:tabs>
          <w:tab w:val="num" w:pos="0"/>
        </w:tabs>
        <w:ind w:left="5288" w:hanging="180"/>
      </w:pPr>
      <w:rPr>
        <w:rFonts w:cs="Times New Roman"/>
      </w:rPr>
    </w:lvl>
    <w:lvl w:ilvl="6">
      <w:start w:val="1"/>
      <w:numFmt w:val="decimal"/>
      <w:lvlText w:val="%7."/>
      <w:lvlJc w:val="left"/>
      <w:pPr>
        <w:tabs>
          <w:tab w:val="num" w:pos="0"/>
        </w:tabs>
        <w:ind w:left="6008" w:hanging="360"/>
      </w:pPr>
      <w:rPr>
        <w:rFonts w:cs="Times New Roman"/>
      </w:rPr>
    </w:lvl>
    <w:lvl w:ilvl="7">
      <w:start w:val="1"/>
      <w:numFmt w:val="lowerLetter"/>
      <w:lvlText w:val="%8."/>
      <w:lvlJc w:val="left"/>
      <w:pPr>
        <w:tabs>
          <w:tab w:val="num" w:pos="0"/>
        </w:tabs>
        <w:ind w:left="6728" w:hanging="360"/>
      </w:pPr>
      <w:rPr>
        <w:rFonts w:cs="Times New Roman"/>
      </w:rPr>
    </w:lvl>
    <w:lvl w:ilvl="8">
      <w:start w:val="1"/>
      <w:numFmt w:val="lowerRoman"/>
      <w:lvlText w:val="%9."/>
      <w:lvlJc w:val="right"/>
      <w:pPr>
        <w:tabs>
          <w:tab w:val="num" w:pos="0"/>
        </w:tabs>
        <w:ind w:left="7448" w:hanging="180"/>
      </w:pPr>
      <w:rPr>
        <w:rFonts w:cs="Times New Roman"/>
      </w:rPr>
    </w:lvl>
  </w:abstractNum>
  <w:abstractNum w:abstractNumId="3">
    <w:lvl w:ilvl="0">
      <w:start w:val="1"/>
      <w:numFmt w:val="lowerLetter"/>
      <w:lvlText w:val="%1)"/>
      <w:lvlJc w:val="left"/>
      <w:pPr>
        <w:tabs>
          <w:tab w:val="num" w:pos="0"/>
        </w:tabs>
        <w:ind w:left="572" w:hanging="360"/>
      </w:pPr>
      <w:rPr>
        <w:rFonts w:cs="Times New Roman"/>
      </w:rPr>
    </w:lvl>
    <w:lvl w:ilvl="1">
      <w:start w:val="1"/>
      <w:numFmt w:val="lowerLetter"/>
      <w:lvlText w:val="%2."/>
      <w:lvlJc w:val="left"/>
      <w:pPr>
        <w:tabs>
          <w:tab w:val="num" w:pos="0"/>
        </w:tabs>
        <w:ind w:left="1292" w:hanging="360"/>
      </w:pPr>
      <w:rPr>
        <w:rFonts w:cs="Times New Roman"/>
      </w:rPr>
    </w:lvl>
    <w:lvl w:ilvl="2">
      <w:start w:val="1"/>
      <w:numFmt w:val="lowerRoman"/>
      <w:lvlText w:val="%3."/>
      <w:lvlJc w:val="right"/>
      <w:pPr>
        <w:tabs>
          <w:tab w:val="num" w:pos="0"/>
        </w:tabs>
        <w:ind w:left="2012" w:hanging="180"/>
      </w:pPr>
      <w:rPr>
        <w:rFonts w:cs="Times New Roman"/>
      </w:rPr>
    </w:lvl>
    <w:lvl w:ilvl="3">
      <w:start w:val="1"/>
      <w:numFmt w:val="decimal"/>
      <w:lvlText w:val="%4."/>
      <w:lvlJc w:val="left"/>
      <w:pPr>
        <w:tabs>
          <w:tab w:val="num" w:pos="0"/>
        </w:tabs>
        <w:ind w:left="2732" w:hanging="360"/>
      </w:pPr>
      <w:rPr>
        <w:rFonts w:cs="Times New Roman"/>
      </w:rPr>
    </w:lvl>
    <w:lvl w:ilvl="4">
      <w:start w:val="1"/>
      <w:numFmt w:val="lowerLetter"/>
      <w:lvlText w:val="%5."/>
      <w:lvlJc w:val="left"/>
      <w:pPr>
        <w:tabs>
          <w:tab w:val="num" w:pos="0"/>
        </w:tabs>
        <w:ind w:left="3452" w:hanging="360"/>
      </w:pPr>
      <w:rPr>
        <w:rFonts w:cs="Times New Roman"/>
      </w:rPr>
    </w:lvl>
    <w:lvl w:ilvl="5">
      <w:start w:val="1"/>
      <w:numFmt w:val="lowerRoman"/>
      <w:lvlText w:val="%6."/>
      <w:lvlJc w:val="right"/>
      <w:pPr>
        <w:tabs>
          <w:tab w:val="num" w:pos="0"/>
        </w:tabs>
        <w:ind w:left="4172" w:hanging="180"/>
      </w:pPr>
      <w:rPr>
        <w:rFonts w:cs="Times New Roman"/>
      </w:rPr>
    </w:lvl>
    <w:lvl w:ilvl="6">
      <w:start w:val="1"/>
      <w:numFmt w:val="decimal"/>
      <w:lvlText w:val="%7."/>
      <w:lvlJc w:val="left"/>
      <w:pPr>
        <w:tabs>
          <w:tab w:val="num" w:pos="0"/>
        </w:tabs>
        <w:ind w:left="4892" w:hanging="360"/>
      </w:pPr>
      <w:rPr>
        <w:rFonts w:cs="Times New Roman"/>
      </w:rPr>
    </w:lvl>
    <w:lvl w:ilvl="7">
      <w:start w:val="1"/>
      <w:numFmt w:val="lowerLetter"/>
      <w:lvlText w:val="%8."/>
      <w:lvlJc w:val="left"/>
      <w:pPr>
        <w:tabs>
          <w:tab w:val="num" w:pos="0"/>
        </w:tabs>
        <w:ind w:left="5612" w:hanging="360"/>
      </w:pPr>
      <w:rPr>
        <w:rFonts w:cs="Times New Roman"/>
      </w:rPr>
    </w:lvl>
    <w:lvl w:ilvl="8">
      <w:start w:val="1"/>
      <w:numFmt w:val="lowerRoman"/>
      <w:lvlText w:val="%9."/>
      <w:lvlJc w:val="right"/>
      <w:pPr>
        <w:tabs>
          <w:tab w:val="num" w:pos="0"/>
        </w:tabs>
        <w:ind w:left="6332" w:hanging="180"/>
      </w:pPr>
      <w:rPr>
        <w:rFonts w:cs="Times New Roman"/>
      </w:rPr>
    </w:lvl>
  </w:abstractNum>
  <w:abstractNum w:abstractNumId="4">
    <w:lvl w:ilvl="0">
      <w:start w:val="1"/>
      <w:numFmt w:val="lowerLetter"/>
      <w:lvlText w:val="%1)"/>
      <w:lvlJc w:val="left"/>
      <w:pPr>
        <w:tabs>
          <w:tab w:val="num" w:pos="0"/>
        </w:tabs>
        <w:ind w:left="572" w:hanging="360"/>
      </w:pPr>
      <w:rPr>
        <w:rFonts w:cs="Times New Roman"/>
      </w:rPr>
    </w:lvl>
    <w:lvl w:ilvl="1">
      <w:start w:val="1"/>
      <w:numFmt w:val="lowerLetter"/>
      <w:lvlText w:val="%2."/>
      <w:lvlJc w:val="left"/>
      <w:pPr>
        <w:tabs>
          <w:tab w:val="num" w:pos="0"/>
        </w:tabs>
        <w:ind w:left="1292" w:hanging="360"/>
      </w:pPr>
      <w:rPr>
        <w:rFonts w:cs="Times New Roman"/>
      </w:rPr>
    </w:lvl>
    <w:lvl w:ilvl="2">
      <w:start w:val="1"/>
      <w:numFmt w:val="lowerRoman"/>
      <w:lvlText w:val="%3."/>
      <w:lvlJc w:val="right"/>
      <w:pPr>
        <w:tabs>
          <w:tab w:val="num" w:pos="0"/>
        </w:tabs>
        <w:ind w:left="2012" w:hanging="180"/>
      </w:pPr>
      <w:rPr>
        <w:rFonts w:cs="Times New Roman"/>
      </w:rPr>
    </w:lvl>
    <w:lvl w:ilvl="3">
      <w:start w:val="1"/>
      <w:numFmt w:val="decimal"/>
      <w:lvlText w:val="%4."/>
      <w:lvlJc w:val="left"/>
      <w:pPr>
        <w:tabs>
          <w:tab w:val="num" w:pos="0"/>
        </w:tabs>
        <w:ind w:left="2732" w:hanging="360"/>
      </w:pPr>
      <w:rPr>
        <w:rFonts w:cs="Times New Roman"/>
      </w:rPr>
    </w:lvl>
    <w:lvl w:ilvl="4">
      <w:start w:val="1"/>
      <w:numFmt w:val="lowerLetter"/>
      <w:lvlText w:val="%5."/>
      <w:lvlJc w:val="left"/>
      <w:pPr>
        <w:tabs>
          <w:tab w:val="num" w:pos="0"/>
        </w:tabs>
        <w:ind w:left="3452" w:hanging="360"/>
      </w:pPr>
      <w:rPr>
        <w:rFonts w:cs="Times New Roman"/>
      </w:rPr>
    </w:lvl>
    <w:lvl w:ilvl="5">
      <w:start w:val="1"/>
      <w:numFmt w:val="lowerRoman"/>
      <w:lvlText w:val="%6."/>
      <w:lvlJc w:val="right"/>
      <w:pPr>
        <w:tabs>
          <w:tab w:val="num" w:pos="0"/>
        </w:tabs>
        <w:ind w:left="4172" w:hanging="180"/>
      </w:pPr>
      <w:rPr>
        <w:rFonts w:cs="Times New Roman"/>
      </w:rPr>
    </w:lvl>
    <w:lvl w:ilvl="6">
      <w:start w:val="1"/>
      <w:numFmt w:val="decimal"/>
      <w:lvlText w:val="%7."/>
      <w:lvlJc w:val="left"/>
      <w:pPr>
        <w:tabs>
          <w:tab w:val="num" w:pos="0"/>
        </w:tabs>
        <w:ind w:left="4892" w:hanging="360"/>
      </w:pPr>
      <w:rPr>
        <w:rFonts w:cs="Times New Roman"/>
      </w:rPr>
    </w:lvl>
    <w:lvl w:ilvl="7">
      <w:start w:val="1"/>
      <w:numFmt w:val="lowerLetter"/>
      <w:lvlText w:val="%8."/>
      <w:lvlJc w:val="left"/>
      <w:pPr>
        <w:tabs>
          <w:tab w:val="num" w:pos="0"/>
        </w:tabs>
        <w:ind w:left="5612" w:hanging="360"/>
      </w:pPr>
      <w:rPr>
        <w:rFonts w:cs="Times New Roman"/>
      </w:rPr>
    </w:lvl>
    <w:lvl w:ilvl="8">
      <w:start w:val="1"/>
      <w:numFmt w:val="lowerRoman"/>
      <w:lvlText w:val="%9."/>
      <w:lvlJc w:val="right"/>
      <w:pPr>
        <w:tabs>
          <w:tab w:val="num" w:pos="0"/>
        </w:tabs>
        <w:ind w:left="6332" w:hanging="180"/>
      </w:pPr>
      <w:rPr>
        <w:rFonts w:cs="Times New Roman"/>
      </w:rPr>
    </w:lvl>
  </w:abstractNum>
  <w:abstractNum w:abstractNumId="5">
    <w:lvl w:ilvl="0">
      <w:start w:val="1"/>
      <w:numFmt w:val="lowerLetter"/>
      <w:lvlText w:val="%1)"/>
      <w:lvlJc w:val="left"/>
      <w:pPr>
        <w:tabs>
          <w:tab w:val="num" w:pos="0"/>
        </w:tabs>
        <w:ind w:left="572" w:hanging="360"/>
      </w:pPr>
      <w:rPr>
        <w:rFonts w:cs="Times New Roman"/>
      </w:rPr>
    </w:lvl>
    <w:lvl w:ilvl="1">
      <w:start w:val="1"/>
      <w:numFmt w:val="lowerLetter"/>
      <w:lvlText w:val="%2."/>
      <w:lvlJc w:val="left"/>
      <w:pPr>
        <w:tabs>
          <w:tab w:val="num" w:pos="0"/>
        </w:tabs>
        <w:ind w:left="1292" w:hanging="360"/>
      </w:pPr>
      <w:rPr>
        <w:rFonts w:cs="Times New Roman"/>
      </w:rPr>
    </w:lvl>
    <w:lvl w:ilvl="2">
      <w:start w:val="1"/>
      <w:numFmt w:val="lowerRoman"/>
      <w:lvlText w:val="%3."/>
      <w:lvlJc w:val="right"/>
      <w:pPr>
        <w:tabs>
          <w:tab w:val="num" w:pos="0"/>
        </w:tabs>
        <w:ind w:left="2012" w:hanging="180"/>
      </w:pPr>
      <w:rPr>
        <w:rFonts w:cs="Times New Roman"/>
      </w:rPr>
    </w:lvl>
    <w:lvl w:ilvl="3">
      <w:start w:val="1"/>
      <w:numFmt w:val="decimal"/>
      <w:lvlText w:val="%4."/>
      <w:lvlJc w:val="left"/>
      <w:pPr>
        <w:tabs>
          <w:tab w:val="num" w:pos="0"/>
        </w:tabs>
        <w:ind w:left="2732" w:hanging="360"/>
      </w:pPr>
      <w:rPr>
        <w:rFonts w:cs="Times New Roman"/>
      </w:rPr>
    </w:lvl>
    <w:lvl w:ilvl="4">
      <w:start w:val="1"/>
      <w:numFmt w:val="lowerLetter"/>
      <w:lvlText w:val="%5."/>
      <w:lvlJc w:val="left"/>
      <w:pPr>
        <w:tabs>
          <w:tab w:val="num" w:pos="0"/>
        </w:tabs>
        <w:ind w:left="3452" w:hanging="360"/>
      </w:pPr>
      <w:rPr>
        <w:rFonts w:cs="Times New Roman"/>
      </w:rPr>
    </w:lvl>
    <w:lvl w:ilvl="5">
      <w:start w:val="1"/>
      <w:numFmt w:val="lowerRoman"/>
      <w:lvlText w:val="%6."/>
      <w:lvlJc w:val="right"/>
      <w:pPr>
        <w:tabs>
          <w:tab w:val="num" w:pos="0"/>
        </w:tabs>
        <w:ind w:left="4172" w:hanging="180"/>
      </w:pPr>
      <w:rPr>
        <w:rFonts w:cs="Times New Roman"/>
      </w:rPr>
    </w:lvl>
    <w:lvl w:ilvl="6">
      <w:start w:val="1"/>
      <w:numFmt w:val="decimal"/>
      <w:lvlText w:val="%7."/>
      <w:lvlJc w:val="left"/>
      <w:pPr>
        <w:tabs>
          <w:tab w:val="num" w:pos="0"/>
        </w:tabs>
        <w:ind w:left="4892" w:hanging="360"/>
      </w:pPr>
      <w:rPr>
        <w:rFonts w:cs="Times New Roman"/>
      </w:rPr>
    </w:lvl>
    <w:lvl w:ilvl="7">
      <w:start w:val="1"/>
      <w:numFmt w:val="lowerLetter"/>
      <w:lvlText w:val="%8."/>
      <w:lvlJc w:val="left"/>
      <w:pPr>
        <w:tabs>
          <w:tab w:val="num" w:pos="0"/>
        </w:tabs>
        <w:ind w:left="5612" w:hanging="360"/>
      </w:pPr>
      <w:rPr>
        <w:rFonts w:cs="Times New Roman"/>
      </w:rPr>
    </w:lvl>
    <w:lvl w:ilvl="8">
      <w:start w:val="1"/>
      <w:numFmt w:val="lowerRoman"/>
      <w:lvlText w:val="%9."/>
      <w:lvlJc w:val="right"/>
      <w:pPr>
        <w:tabs>
          <w:tab w:val="num" w:pos="0"/>
        </w:tabs>
        <w:ind w:left="6332" w:hanging="180"/>
      </w:pPr>
      <w:rPr>
        <w:rFonts w:cs="Times New Roman"/>
      </w:rPr>
    </w:lvl>
  </w:abstractNum>
  <w:abstractNum w:abstractNumId="6">
    <w:lvl w:ilvl="0">
      <w:start w:val="1"/>
      <w:numFmt w:val="lowerLetter"/>
      <w:lvlText w:val="%1)"/>
      <w:lvlJc w:val="left"/>
      <w:pPr>
        <w:tabs>
          <w:tab w:val="num" w:pos="0"/>
        </w:tabs>
        <w:ind w:left="572" w:hanging="360"/>
      </w:pPr>
      <w:rPr>
        <w:rFonts w:cs="Times New Roman"/>
      </w:rPr>
    </w:lvl>
    <w:lvl w:ilvl="1">
      <w:start w:val="1"/>
      <w:numFmt w:val="lowerLetter"/>
      <w:lvlText w:val="%2."/>
      <w:lvlJc w:val="left"/>
      <w:pPr>
        <w:tabs>
          <w:tab w:val="num" w:pos="0"/>
        </w:tabs>
        <w:ind w:left="1292" w:hanging="360"/>
      </w:pPr>
      <w:rPr>
        <w:rFonts w:cs="Times New Roman"/>
      </w:rPr>
    </w:lvl>
    <w:lvl w:ilvl="2">
      <w:start w:val="1"/>
      <w:numFmt w:val="lowerRoman"/>
      <w:lvlText w:val="%3."/>
      <w:lvlJc w:val="right"/>
      <w:pPr>
        <w:tabs>
          <w:tab w:val="num" w:pos="0"/>
        </w:tabs>
        <w:ind w:left="2012" w:hanging="180"/>
      </w:pPr>
      <w:rPr>
        <w:rFonts w:cs="Times New Roman"/>
      </w:rPr>
    </w:lvl>
    <w:lvl w:ilvl="3">
      <w:start w:val="1"/>
      <w:numFmt w:val="decimal"/>
      <w:lvlText w:val="%4."/>
      <w:lvlJc w:val="left"/>
      <w:pPr>
        <w:tabs>
          <w:tab w:val="num" w:pos="0"/>
        </w:tabs>
        <w:ind w:left="2732" w:hanging="360"/>
      </w:pPr>
      <w:rPr>
        <w:rFonts w:cs="Times New Roman"/>
      </w:rPr>
    </w:lvl>
    <w:lvl w:ilvl="4">
      <w:start w:val="1"/>
      <w:numFmt w:val="lowerLetter"/>
      <w:lvlText w:val="%5."/>
      <w:lvlJc w:val="left"/>
      <w:pPr>
        <w:tabs>
          <w:tab w:val="num" w:pos="0"/>
        </w:tabs>
        <w:ind w:left="3452" w:hanging="360"/>
      </w:pPr>
      <w:rPr>
        <w:rFonts w:cs="Times New Roman"/>
      </w:rPr>
    </w:lvl>
    <w:lvl w:ilvl="5">
      <w:start w:val="1"/>
      <w:numFmt w:val="lowerRoman"/>
      <w:lvlText w:val="%6."/>
      <w:lvlJc w:val="right"/>
      <w:pPr>
        <w:tabs>
          <w:tab w:val="num" w:pos="0"/>
        </w:tabs>
        <w:ind w:left="4172" w:hanging="180"/>
      </w:pPr>
      <w:rPr>
        <w:rFonts w:cs="Times New Roman"/>
      </w:rPr>
    </w:lvl>
    <w:lvl w:ilvl="6">
      <w:start w:val="1"/>
      <w:numFmt w:val="decimal"/>
      <w:lvlText w:val="%7."/>
      <w:lvlJc w:val="left"/>
      <w:pPr>
        <w:tabs>
          <w:tab w:val="num" w:pos="0"/>
        </w:tabs>
        <w:ind w:left="4892" w:hanging="360"/>
      </w:pPr>
      <w:rPr>
        <w:rFonts w:cs="Times New Roman"/>
      </w:rPr>
    </w:lvl>
    <w:lvl w:ilvl="7">
      <w:start w:val="1"/>
      <w:numFmt w:val="lowerLetter"/>
      <w:lvlText w:val="%8."/>
      <w:lvlJc w:val="left"/>
      <w:pPr>
        <w:tabs>
          <w:tab w:val="num" w:pos="0"/>
        </w:tabs>
        <w:ind w:left="5612" w:hanging="360"/>
      </w:pPr>
      <w:rPr>
        <w:rFonts w:cs="Times New Roman"/>
      </w:rPr>
    </w:lvl>
    <w:lvl w:ilvl="8">
      <w:start w:val="1"/>
      <w:numFmt w:val="lowerRoman"/>
      <w:lvlText w:val="%9."/>
      <w:lvlJc w:val="right"/>
      <w:pPr>
        <w:tabs>
          <w:tab w:val="num" w:pos="0"/>
        </w:tabs>
        <w:ind w:left="6332" w:hanging="180"/>
      </w:pPr>
      <w:rPr>
        <w:rFonts w:cs="Times New Roman"/>
      </w:rPr>
    </w:lvl>
  </w:abstractNum>
  <w:abstractNum w:abstractNumId="7">
    <w:lvl w:ilvl="0">
      <w:start w:val="1"/>
      <w:numFmt w:val="bullet"/>
      <w:lvlText w:val=""/>
      <w:lvlJc w:val="left"/>
      <w:pPr>
        <w:tabs>
          <w:tab w:val="num" w:pos="0"/>
        </w:tabs>
        <w:ind w:left="876" w:hanging="360"/>
      </w:pPr>
      <w:rPr>
        <w:rFonts w:ascii="Symbol" w:hAnsi="Symbol" w:cs="Symbol" w:hint="default"/>
      </w:rPr>
    </w:lvl>
    <w:lvl w:ilvl="1">
      <w:start w:val="1"/>
      <w:numFmt w:val="bullet"/>
      <w:lvlText w:val="o"/>
      <w:lvlJc w:val="left"/>
      <w:pPr>
        <w:tabs>
          <w:tab w:val="num" w:pos="0"/>
        </w:tabs>
        <w:ind w:left="1596" w:hanging="360"/>
      </w:pPr>
      <w:rPr>
        <w:rFonts w:ascii="Courier New" w:hAnsi="Courier New" w:cs="Courier New" w:hint="default"/>
      </w:rPr>
    </w:lvl>
    <w:lvl w:ilvl="2">
      <w:start w:val="1"/>
      <w:numFmt w:val="bullet"/>
      <w:lvlText w:val=""/>
      <w:lvlJc w:val="left"/>
      <w:pPr>
        <w:tabs>
          <w:tab w:val="num" w:pos="0"/>
        </w:tabs>
        <w:ind w:left="2316" w:hanging="360"/>
      </w:pPr>
      <w:rPr>
        <w:rFonts w:ascii="Wingdings" w:hAnsi="Wingdings" w:cs="Wingdings" w:hint="default"/>
      </w:rPr>
    </w:lvl>
    <w:lvl w:ilvl="3">
      <w:start w:val="1"/>
      <w:numFmt w:val="bullet"/>
      <w:lvlText w:val=""/>
      <w:lvlJc w:val="left"/>
      <w:pPr>
        <w:tabs>
          <w:tab w:val="num" w:pos="0"/>
        </w:tabs>
        <w:ind w:left="3036" w:hanging="360"/>
      </w:pPr>
      <w:rPr>
        <w:rFonts w:ascii="Symbol" w:hAnsi="Symbol" w:cs="Symbol" w:hint="default"/>
      </w:rPr>
    </w:lvl>
    <w:lvl w:ilvl="4">
      <w:start w:val="1"/>
      <w:numFmt w:val="bullet"/>
      <w:lvlText w:val="o"/>
      <w:lvlJc w:val="left"/>
      <w:pPr>
        <w:tabs>
          <w:tab w:val="num" w:pos="0"/>
        </w:tabs>
        <w:ind w:left="3756" w:hanging="360"/>
      </w:pPr>
      <w:rPr>
        <w:rFonts w:ascii="Courier New" w:hAnsi="Courier New" w:cs="Courier New" w:hint="default"/>
      </w:rPr>
    </w:lvl>
    <w:lvl w:ilvl="5">
      <w:start w:val="1"/>
      <w:numFmt w:val="bullet"/>
      <w:lvlText w:val=""/>
      <w:lvlJc w:val="left"/>
      <w:pPr>
        <w:tabs>
          <w:tab w:val="num" w:pos="0"/>
        </w:tabs>
        <w:ind w:left="4476" w:hanging="360"/>
      </w:pPr>
      <w:rPr>
        <w:rFonts w:ascii="Wingdings" w:hAnsi="Wingdings" w:cs="Wingdings" w:hint="default"/>
      </w:rPr>
    </w:lvl>
    <w:lvl w:ilvl="6">
      <w:start w:val="1"/>
      <w:numFmt w:val="bullet"/>
      <w:lvlText w:val=""/>
      <w:lvlJc w:val="left"/>
      <w:pPr>
        <w:tabs>
          <w:tab w:val="num" w:pos="0"/>
        </w:tabs>
        <w:ind w:left="5196" w:hanging="360"/>
      </w:pPr>
      <w:rPr>
        <w:rFonts w:ascii="Symbol" w:hAnsi="Symbol" w:cs="Symbol" w:hint="default"/>
      </w:rPr>
    </w:lvl>
    <w:lvl w:ilvl="7">
      <w:start w:val="1"/>
      <w:numFmt w:val="bullet"/>
      <w:lvlText w:val="o"/>
      <w:lvlJc w:val="left"/>
      <w:pPr>
        <w:tabs>
          <w:tab w:val="num" w:pos="0"/>
        </w:tabs>
        <w:ind w:left="5916" w:hanging="360"/>
      </w:pPr>
      <w:rPr>
        <w:rFonts w:ascii="Courier New" w:hAnsi="Courier New" w:cs="Courier New" w:hint="default"/>
      </w:rPr>
    </w:lvl>
    <w:lvl w:ilvl="8">
      <w:start w:val="1"/>
      <w:numFmt w:val="bullet"/>
      <w:lvlText w:val=""/>
      <w:lvlJc w:val="left"/>
      <w:pPr>
        <w:tabs>
          <w:tab w:val="num" w:pos="0"/>
        </w:tabs>
        <w:ind w:left="6636" w:hanging="360"/>
      </w:pPr>
      <w:rPr>
        <w:rFonts w:ascii="Wingdings" w:hAnsi="Wingdings" w:cs="Wingdings" w:hint="default"/>
      </w:rPr>
    </w:lvl>
  </w:abstractNum>
  <w:abstractNum w:abstractNumId="8">
    <w:lvl w:ilvl="0">
      <w:start w:val="1"/>
      <w:numFmt w:val="lowerLetter"/>
      <w:lvlText w:val="%1)"/>
      <w:lvlJc w:val="left"/>
      <w:pPr>
        <w:tabs>
          <w:tab w:val="num" w:pos="0"/>
        </w:tabs>
        <w:ind w:left="572" w:hanging="360"/>
      </w:pPr>
      <w:rPr>
        <w:rFonts w:cs="Times New Roman"/>
      </w:rPr>
    </w:lvl>
    <w:lvl w:ilvl="1">
      <w:start w:val="1"/>
      <w:numFmt w:val="lowerLetter"/>
      <w:lvlText w:val="%2."/>
      <w:lvlJc w:val="left"/>
      <w:pPr>
        <w:tabs>
          <w:tab w:val="num" w:pos="0"/>
        </w:tabs>
        <w:ind w:left="1292" w:hanging="360"/>
      </w:pPr>
      <w:rPr>
        <w:rFonts w:cs="Times New Roman"/>
      </w:rPr>
    </w:lvl>
    <w:lvl w:ilvl="2">
      <w:start w:val="1"/>
      <w:numFmt w:val="lowerRoman"/>
      <w:lvlText w:val="%3."/>
      <w:lvlJc w:val="right"/>
      <w:pPr>
        <w:tabs>
          <w:tab w:val="num" w:pos="0"/>
        </w:tabs>
        <w:ind w:left="2012" w:hanging="180"/>
      </w:pPr>
      <w:rPr>
        <w:rFonts w:cs="Times New Roman"/>
      </w:rPr>
    </w:lvl>
    <w:lvl w:ilvl="3">
      <w:start w:val="1"/>
      <w:numFmt w:val="decimal"/>
      <w:lvlText w:val="%4."/>
      <w:lvlJc w:val="left"/>
      <w:pPr>
        <w:tabs>
          <w:tab w:val="num" w:pos="0"/>
        </w:tabs>
        <w:ind w:left="2732" w:hanging="360"/>
      </w:pPr>
      <w:rPr>
        <w:rFonts w:cs="Times New Roman"/>
      </w:rPr>
    </w:lvl>
    <w:lvl w:ilvl="4">
      <w:start w:val="1"/>
      <w:numFmt w:val="lowerLetter"/>
      <w:lvlText w:val="%5."/>
      <w:lvlJc w:val="left"/>
      <w:pPr>
        <w:tabs>
          <w:tab w:val="num" w:pos="0"/>
        </w:tabs>
        <w:ind w:left="3452" w:hanging="360"/>
      </w:pPr>
      <w:rPr>
        <w:rFonts w:cs="Times New Roman"/>
      </w:rPr>
    </w:lvl>
    <w:lvl w:ilvl="5">
      <w:start w:val="1"/>
      <w:numFmt w:val="lowerRoman"/>
      <w:lvlText w:val="%6."/>
      <w:lvlJc w:val="right"/>
      <w:pPr>
        <w:tabs>
          <w:tab w:val="num" w:pos="0"/>
        </w:tabs>
        <w:ind w:left="4172" w:hanging="180"/>
      </w:pPr>
      <w:rPr>
        <w:rFonts w:cs="Times New Roman"/>
      </w:rPr>
    </w:lvl>
    <w:lvl w:ilvl="6">
      <w:start w:val="1"/>
      <w:numFmt w:val="decimal"/>
      <w:lvlText w:val="%7."/>
      <w:lvlJc w:val="left"/>
      <w:pPr>
        <w:tabs>
          <w:tab w:val="num" w:pos="0"/>
        </w:tabs>
        <w:ind w:left="4892" w:hanging="360"/>
      </w:pPr>
      <w:rPr>
        <w:rFonts w:cs="Times New Roman"/>
      </w:rPr>
    </w:lvl>
    <w:lvl w:ilvl="7">
      <w:start w:val="1"/>
      <w:numFmt w:val="lowerLetter"/>
      <w:lvlText w:val="%8."/>
      <w:lvlJc w:val="left"/>
      <w:pPr>
        <w:tabs>
          <w:tab w:val="num" w:pos="0"/>
        </w:tabs>
        <w:ind w:left="5612" w:hanging="360"/>
      </w:pPr>
      <w:rPr>
        <w:rFonts w:cs="Times New Roman"/>
      </w:rPr>
    </w:lvl>
    <w:lvl w:ilvl="8">
      <w:start w:val="1"/>
      <w:numFmt w:val="lowerRoman"/>
      <w:lvlText w:val="%9."/>
      <w:lvlJc w:val="right"/>
      <w:pPr>
        <w:tabs>
          <w:tab w:val="num" w:pos="0"/>
        </w:tabs>
        <w:ind w:left="6332" w:hanging="180"/>
      </w:pPr>
      <w:rPr>
        <w:rFonts w:cs="Times New Roman"/>
      </w:rPr>
    </w:lvl>
  </w:abstractNum>
  <w:abstractNum w:abstractNumId="9">
    <w:lvl w:ilvl="0">
      <w:start w:val="1"/>
      <w:numFmt w:val="lowerLetter"/>
      <w:lvlText w:val="%1)"/>
      <w:lvlJc w:val="left"/>
      <w:pPr>
        <w:tabs>
          <w:tab w:val="num" w:pos="0"/>
        </w:tabs>
        <w:ind w:left="572" w:hanging="360"/>
      </w:pPr>
      <w:rPr>
        <w:rFonts w:cs="Times New Roman"/>
      </w:rPr>
    </w:lvl>
    <w:lvl w:ilvl="1">
      <w:start w:val="1"/>
      <w:numFmt w:val="lowerLetter"/>
      <w:lvlText w:val="%2."/>
      <w:lvlJc w:val="left"/>
      <w:pPr>
        <w:tabs>
          <w:tab w:val="num" w:pos="0"/>
        </w:tabs>
        <w:ind w:left="1292" w:hanging="360"/>
      </w:pPr>
      <w:rPr>
        <w:rFonts w:cs="Times New Roman"/>
      </w:rPr>
    </w:lvl>
    <w:lvl w:ilvl="2">
      <w:start w:val="1"/>
      <w:numFmt w:val="lowerRoman"/>
      <w:lvlText w:val="%3."/>
      <w:lvlJc w:val="right"/>
      <w:pPr>
        <w:tabs>
          <w:tab w:val="num" w:pos="0"/>
        </w:tabs>
        <w:ind w:left="2012" w:hanging="180"/>
      </w:pPr>
      <w:rPr>
        <w:rFonts w:cs="Times New Roman"/>
      </w:rPr>
    </w:lvl>
    <w:lvl w:ilvl="3">
      <w:start w:val="1"/>
      <w:numFmt w:val="decimal"/>
      <w:lvlText w:val="%4."/>
      <w:lvlJc w:val="left"/>
      <w:pPr>
        <w:tabs>
          <w:tab w:val="num" w:pos="0"/>
        </w:tabs>
        <w:ind w:left="2732" w:hanging="360"/>
      </w:pPr>
      <w:rPr>
        <w:rFonts w:cs="Times New Roman"/>
      </w:rPr>
    </w:lvl>
    <w:lvl w:ilvl="4">
      <w:start w:val="1"/>
      <w:numFmt w:val="lowerLetter"/>
      <w:lvlText w:val="%5."/>
      <w:lvlJc w:val="left"/>
      <w:pPr>
        <w:tabs>
          <w:tab w:val="num" w:pos="0"/>
        </w:tabs>
        <w:ind w:left="3452" w:hanging="360"/>
      </w:pPr>
      <w:rPr>
        <w:rFonts w:cs="Times New Roman"/>
      </w:rPr>
    </w:lvl>
    <w:lvl w:ilvl="5">
      <w:start w:val="1"/>
      <w:numFmt w:val="lowerRoman"/>
      <w:lvlText w:val="%6."/>
      <w:lvlJc w:val="right"/>
      <w:pPr>
        <w:tabs>
          <w:tab w:val="num" w:pos="0"/>
        </w:tabs>
        <w:ind w:left="4172" w:hanging="180"/>
      </w:pPr>
      <w:rPr>
        <w:rFonts w:cs="Times New Roman"/>
      </w:rPr>
    </w:lvl>
    <w:lvl w:ilvl="6">
      <w:start w:val="1"/>
      <w:numFmt w:val="decimal"/>
      <w:lvlText w:val="%7."/>
      <w:lvlJc w:val="left"/>
      <w:pPr>
        <w:tabs>
          <w:tab w:val="num" w:pos="0"/>
        </w:tabs>
        <w:ind w:left="4892" w:hanging="360"/>
      </w:pPr>
      <w:rPr>
        <w:rFonts w:cs="Times New Roman"/>
      </w:rPr>
    </w:lvl>
    <w:lvl w:ilvl="7">
      <w:start w:val="1"/>
      <w:numFmt w:val="lowerLetter"/>
      <w:lvlText w:val="%8."/>
      <w:lvlJc w:val="left"/>
      <w:pPr>
        <w:tabs>
          <w:tab w:val="num" w:pos="0"/>
        </w:tabs>
        <w:ind w:left="5612" w:hanging="360"/>
      </w:pPr>
      <w:rPr>
        <w:rFonts w:cs="Times New Roman"/>
      </w:rPr>
    </w:lvl>
    <w:lvl w:ilvl="8">
      <w:start w:val="1"/>
      <w:numFmt w:val="lowerRoman"/>
      <w:lvlText w:val="%9."/>
      <w:lvlJc w:val="right"/>
      <w:pPr>
        <w:tabs>
          <w:tab w:val="num" w:pos="0"/>
        </w:tabs>
        <w:ind w:left="6332" w:hanging="180"/>
      </w:pPr>
      <w:rPr>
        <w:rFonts w:cs="Times New Roman"/>
      </w:rPr>
    </w:lvl>
  </w:abstractNum>
  <w:abstractNum w:abstractNumId="10">
    <w:lvl w:ilvl="0">
      <w:start w:val="1"/>
      <w:numFmt w:val="lowerLetter"/>
      <w:lvlText w:val="%1)"/>
      <w:lvlJc w:val="left"/>
      <w:pPr>
        <w:tabs>
          <w:tab w:val="num" w:pos="0"/>
        </w:tabs>
        <w:ind w:left="572" w:hanging="360"/>
      </w:pPr>
      <w:rPr>
        <w:rFonts w:cs="Times New Roman"/>
      </w:rPr>
    </w:lvl>
    <w:lvl w:ilvl="1">
      <w:start w:val="1"/>
      <w:numFmt w:val="lowerLetter"/>
      <w:lvlText w:val="%2."/>
      <w:lvlJc w:val="left"/>
      <w:pPr>
        <w:tabs>
          <w:tab w:val="num" w:pos="0"/>
        </w:tabs>
        <w:ind w:left="1292" w:hanging="360"/>
      </w:pPr>
      <w:rPr>
        <w:rFonts w:cs="Times New Roman"/>
      </w:rPr>
    </w:lvl>
    <w:lvl w:ilvl="2">
      <w:start w:val="1"/>
      <w:numFmt w:val="lowerRoman"/>
      <w:lvlText w:val="%3."/>
      <w:lvlJc w:val="right"/>
      <w:pPr>
        <w:tabs>
          <w:tab w:val="num" w:pos="0"/>
        </w:tabs>
        <w:ind w:left="2012" w:hanging="180"/>
      </w:pPr>
      <w:rPr>
        <w:rFonts w:cs="Times New Roman"/>
      </w:rPr>
    </w:lvl>
    <w:lvl w:ilvl="3">
      <w:start w:val="1"/>
      <w:numFmt w:val="decimal"/>
      <w:lvlText w:val="%4."/>
      <w:lvlJc w:val="left"/>
      <w:pPr>
        <w:tabs>
          <w:tab w:val="num" w:pos="0"/>
        </w:tabs>
        <w:ind w:left="2732" w:hanging="360"/>
      </w:pPr>
      <w:rPr>
        <w:rFonts w:cs="Times New Roman"/>
      </w:rPr>
    </w:lvl>
    <w:lvl w:ilvl="4">
      <w:start w:val="1"/>
      <w:numFmt w:val="lowerLetter"/>
      <w:lvlText w:val="%5."/>
      <w:lvlJc w:val="left"/>
      <w:pPr>
        <w:tabs>
          <w:tab w:val="num" w:pos="0"/>
        </w:tabs>
        <w:ind w:left="3452" w:hanging="360"/>
      </w:pPr>
      <w:rPr>
        <w:rFonts w:cs="Times New Roman"/>
      </w:rPr>
    </w:lvl>
    <w:lvl w:ilvl="5">
      <w:start w:val="1"/>
      <w:numFmt w:val="lowerRoman"/>
      <w:lvlText w:val="%6."/>
      <w:lvlJc w:val="right"/>
      <w:pPr>
        <w:tabs>
          <w:tab w:val="num" w:pos="0"/>
        </w:tabs>
        <w:ind w:left="4172" w:hanging="180"/>
      </w:pPr>
      <w:rPr>
        <w:rFonts w:cs="Times New Roman"/>
      </w:rPr>
    </w:lvl>
    <w:lvl w:ilvl="6">
      <w:start w:val="1"/>
      <w:numFmt w:val="decimal"/>
      <w:lvlText w:val="%7."/>
      <w:lvlJc w:val="left"/>
      <w:pPr>
        <w:tabs>
          <w:tab w:val="num" w:pos="0"/>
        </w:tabs>
        <w:ind w:left="4892" w:hanging="360"/>
      </w:pPr>
      <w:rPr>
        <w:rFonts w:cs="Times New Roman"/>
      </w:rPr>
    </w:lvl>
    <w:lvl w:ilvl="7">
      <w:start w:val="1"/>
      <w:numFmt w:val="lowerLetter"/>
      <w:lvlText w:val="%8."/>
      <w:lvlJc w:val="left"/>
      <w:pPr>
        <w:tabs>
          <w:tab w:val="num" w:pos="0"/>
        </w:tabs>
        <w:ind w:left="5612" w:hanging="360"/>
      </w:pPr>
      <w:rPr>
        <w:rFonts w:cs="Times New Roman"/>
      </w:rPr>
    </w:lvl>
    <w:lvl w:ilvl="8">
      <w:start w:val="1"/>
      <w:numFmt w:val="lowerRoman"/>
      <w:lvlText w:val="%9."/>
      <w:lvlJc w:val="right"/>
      <w:pPr>
        <w:tabs>
          <w:tab w:val="num" w:pos="0"/>
        </w:tabs>
        <w:ind w:left="6332" w:hanging="180"/>
      </w:pPr>
      <w:rPr>
        <w:rFonts w:cs="Times New Roman"/>
      </w:rPr>
    </w:lvl>
  </w:abstractNum>
  <w:abstractNum w:abstractNumId="11">
    <w:lvl w:ilvl="0">
      <w:start w:val="1"/>
      <w:numFmt w:val="lowerLetter"/>
      <w:lvlText w:val="%1)"/>
      <w:lvlJc w:val="left"/>
      <w:pPr>
        <w:tabs>
          <w:tab w:val="num" w:pos="0"/>
        </w:tabs>
        <w:ind w:left="572" w:hanging="360"/>
      </w:pPr>
      <w:rPr>
        <w:rFonts w:cs="Times New Roman"/>
      </w:rPr>
    </w:lvl>
    <w:lvl w:ilvl="1">
      <w:start w:val="1"/>
      <w:numFmt w:val="lowerLetter"/>
      <w:lvlText w:val="%2."/>
      <w:lvlJc w:val="left"/>
      <w:pPr>
        <w:tabs>
          <w:tab w:val="num" w:pos="0"/>
        </w:tabs>
        <w:ind w:left="1292" w:hanging="360"/>
      </w:pPr>
      <w:rPr>
        <w:rFonts w:cs="Times New Roman"/>
      </w:rPr>
    </w:lvl>
    <w:lvl w:ilvl="2">
      <w:start w:val="1"/>
      <w:numFmt w:val="lowerRoman"/>
      <w:lvlText w:val="%3."/>
      <w:lvlJc w:val="right"/>
      <w:pPr>
        <w:tabs>
          <w:tab w:val="num" w:pos="0"/>
        </w:tabs>
        <w:ind w:left="2012" w:hanging="180"/>
      </w:pPr>
      <w:rPr>
        <w:rFonts w:cs="Times New Roman"/>
      </w:rPr>
    </w:lvl>
    <w:lvl w:ilvl="3">
      <w:start w:val="1"/>
      <w:numFmt w:val="decimal"/>
      <w:lvlText w:val="%4."/>
      <w:lvlJc w:val="left"/>
      <w:pPr>
        <w:tabs>
          <w:tab w:val="num" w:pos="0"/>
        </w:tabs>
        <w:ind w:left="2732" w:hanging="360"/>
      </w:pPr>
      <w:rPr>
        <w:rFonts w:cs="Times New Roman"/>
      </w:rPr>
    </w:lvl>
    <w:lvl w:ilvl="4">
      <w:start w:val="1"/>
      <w:numFmt w:val="lowerLetter"/>
      <w:lvlText w:val="%5."/>
      <w:lvlJc w:val="left"/>
      <w:pPr>
        <w:tabs>
          <w:tab w:val="num" w:pos="0"/>
        </w:tabs>
        <w:ind w:left="3452" w:hanging="360"/>
      </w:pPr>
      <w:rPr>
        <w:rFonts w:cs="Times New Roman"/>
      </w:rPr>
    </w:lvl>
    <w:lvl w:ilvl="5">
      <w:start w:val="1"/>
      <w:numFmt w:val="lowerRoman"/>
      <w:lvlText w:val="%6."/>
      <w:lvlJc w:val="right"/>
      <w:pPr>
        <w:tabs>
          <w:tab w:val="num" w:pos="0"/>
        </w:tabs>
        <w:ind w:left="4172" w:hanging="180"/>
      </w:pPr>
      <w:rPr>
        <w:rFonts w:cs="Times New Roman"/>
      </w:rPr>
    </w:lvl>
    <w:lvl w:ilvl="6">
      <w:start w:val="1"/>
      <w:numFmt w:val="decimal"/>
      <w:lvlText w:val="%7."/>
      <w:lvlJc w:val="left"/>
      <w:pPr>
        <w:tabs>
          <w:tab w:val="num" w:pos="0"/>
        </w:tabs>
        <w:ind w:left="4892" w:hanging="360"/>
      </w:pPr>
      <w:rPr>
        <w:rFonts w:cs="Times New Roman"/>
      </w:rPr>
    </w:lvl>
    <w:lvl w:ilvl="7">
      <w:start w:val="1"/>
      <w:numFmt w:val="lowerLetter"/>
      <w:lvlText w:val="%8."/>
      <w:lvlJc w:val="left"/>
      <w:pPr>
        <w:tabs>
          <w:tab w:val="num" w:pos="0"/>
        </w:tabs>
        <w:ind w:left="5612" w:hanging="360"/>
      </w:pPr>
      <w:rPr>
        <w:rFonts w:cs="Times New Roman"/>
      </w:rPr>
    </w:lvl>
    <w:lvl w:ilvl="8">
      <w:start w:val="1"/>
      <w:numFmt w:val="lowerRoman"/>
      <w:lvlText w:val="%9."/>
      <w:lvlJc w:val="right"/>
      <w:pPr>
        <w:tabs>
          <w:tab w:val="num" w:pos="0"/>
        </w:tabs>
        <w:ind w:left="6332" w:hanging="180"/>
      </w:pPr>
      <w:rPr>
        <w:rFonts w:cs="Times New Roman"/>
      </w:rPr>
    </w:lvl>
  </w:abstractNum>
  <w:abstractNum w:abstractNumId="12">
    <w:lvl w:ilvl="0">
      <w:start w:val="1"/>
      <w:numFmt w:val="lowerLetter"/>
      <w:lvlText w:val="%1)"/>
      <w:lvlJc w:val="left"/>
      <w:pPr>
        <w:tabs>
          <w:tab w:val="num" w:pos="0"/>
        </w:tabs>
        <w:ind w:left="572" w:hanging="360"/>
      </w:pPr>
      <w:rPr>
        <w:rFonts w:cs="Times New Roman"/>
      </w:rPr>
    </w:lvl>
    <w:lvl w:ilvl="1">
      <w:start w:val="1"/>
      <w:numFmt w:val="lowerLetter"/>
      <w:lvlText w:val="%2."/>
      <w:lvlJc w:val="left"/>
      <w:pPr>
        <w:tabs>
          <w:tab w:val="num" w:pos="0"/>
        </w:tabs>
        <w:ind w:left="1292" w:hanging="360"/>
      </w:pPr>
      <w:rPr>
        <w:rFonts w:cs="Times New Roman"/>
      </w:rPr>
    </w:lvl>
    <w:lvl w:ilvl="2">
      <w:start w:val="1"/>
      <w:numFmt w:val="lowerRoman"/>
      <w:lvlText w:val="%3."/>
      <w:lvlJc w:val="right"/>
      <w:pPr>
        <w:tabs>
          <w:tab w:val="num" w:pos="0"/>
        </w:tabs>
        <w:ind w:left="2012" w:hanging="180"/>
      </w:pPr>
      <w:rPr>
        <w:rFonts w:cs="Times New Roman"/>
      </w:rPr>
    </w:lvl>
    <w:lvl w:ilvl="3">
      <w:start w:val="1"/>
      <w:numFmt w:val="decimal"/>
      <w:lvlText w:val="%4."/>
      <w:lvlJc w:val="left"/>
      <w:pPr>
        <w:tabs>
          <w:tab w:val="num" w:pos="0"/>
        </w:tabs>
        <w:ind w:left="2732" w:hanging="360"/>
      </w:pPr>
      <w:rPr>
        <w:rFonts w:cs="Times New Roman"/>
      </w:rPr>
    </w:lvl>
    <w:lvl w:ilvl="4">
      <w:start w:val="1"/>
      <w:numFmt w:val="lowerLetter"/>
      <w:lvlText w:val="%5."/>
      <w:lvlJc w:val="left"/>
      <w:pPr>
        <w:tabs>
          <w:tab w:val="num" w:pos="0"/>
        </w:tabs>
        <w:ind w:left="3452" w:hanging="360"/>
      </w:pPr>
      <w:rPr>
        <w:rFonts w:cs="Times New Roman"/>
      </w:rPr>
    </w:lvl>
    <w:lvl w:ilvl="5">
      <w:start w:val="1"/>
      <w:numFmt w:val="lowerRoman"/>
      <w:lvlText w:val="%6."/>
      <w:lvlJc w:val="right"/>
      <w:pPr>
        <w:tabs>
          <w:tab w:val="num" w:pos="0"/>
        </w:tabs>
        <w:ind w:left="4172" w:hanging="180"/>
      </w:pPr>
      <w:rPr>
        <w:rFonts w:cs="Times New Roman"/>
      </w:rPr>
    </w:lvl>
    <w:lvl w:ilvl="6">
      <w:start w:val="1"/>
      <w:numFmt w:val="decimal"/>
      <w:lvlText w:val="%7."/>
      <w:lvlJc w:val="left"/>
      <w:pPr>
        <w:tabs>
          <w:tab w:val="num" w:pos="0"/>
        </w:tabs>
        <w:ind w:left="4892" w:hanging="360"/>
      </w:pPr>
      <w:rPr>
        <w:rFonts w:cs="Times New Roman"/>
      </w:rPr>
    </w:lvl>
    <w:lvl w:ilvl="7">
      <w:start w:val="1"/>
      <w:numFmt w:val="lowerLetter"/>
      <w:lvlText w:val="%8."/>
      <w:lvlJc w:val="left"/>
      <w:pPr>
        <w:tabs>
          <w:tab w:val="num" w:pos="0"/>
        </w:tabs>
        <w:ind w:left="5612" w:hanging="360"/>
      </w:pPr>
      <w:rPr>
        <w:rFonts w:cs="Times New Roman"/>
      </w:rPr>
    </w:lvl>
    <w:lvl w:ilvl="8">
      <w:start w:val="1"/>
      <w:numFmt w:val="lowerRoman"/>
      <w:lvlText w:val="%9."/>
      <w:lvlJc w:val="right"/>
      <w:pPr>
        <w:tabs>
          <w:tab w:val="num" w:pos="0"/>
        </w:tabs>
        <w:ind w:left="6332" w:hanging="180"/>
      </w:pPr>
      <w:rPr>
        <w:rFonts w:cs="Times New Roman"/>
      </w:rPr>
    </w:lvl>
  </w:abstractNum>
  <w:abstractNum w:abstractNumId="13">
    <w:lvl w:ilvl="0">
      <w:start w:val="1"/>
      <w:numFmt w:val="lowerLetter"/>
      <w:lvlText w:val="%1)"/>
      <w:lvlJc w:val="left"/>
      <w:pPr>
        <w:tabs>
          <w:tab w:val="num" w:pos="0"/>
        </w:tabs>
        <w:ind w:left="572" w:hanging="360"/>
      </w:pPr>
      <w:rPr>
        <w:rFonts w:cs="Times New Roman"/>
      </w:rPr>
    </w:lvl>
    <w:lvl w:ilvl="1">
      <w:start w:val="1"/>
      <w:numFmt w:val="lowerLetter"/>
      <w:lvlText w:val="%2."/>
      <w:lvlJc w:val="left"/>
      <w:pPr>
        <w:tabs>
          <w:tab w:val="num" w:pos="0"/>
        </w:tabs>
        <w:ind w:left="1292" w:hanging="360"/>
      </w:pPr>
      <w:rPr>
        <w:rFonts w:cs="Times New Roman"/>
      </w:rPr>
    </w:lvl>
    <w:lvl w:ilvl="2">
      <w:start w:val="1"/>
      <w:numFmt w:val="lowerRoman"/>
      <w:lvlText w:val="%3."/>
      <w:lvlJc w:val="right"/>
      <w:pPr>
        <w:tabs>
          <w:tab w:val="num" w:pos="0"/>
        </w:tabs>
        <w:ind w:left="2012" w:hanging="180"/>
      </w:pPr>
      <w:rPr>
        <w:rFonts w:cs="Times New Roman"/>
      </w:rPr>
    </w:lvl>
    <w:lvl w:ilvl="3">
      <w:start w:val="1"/>
      <w:numFmt w:val="decimal"/>
      <w:lvlText w:val="%4."/>
      <w:lvlJc w:val="left"/>
      <w:pPr>
        <w:tabs>
          <w:tab w:val="num" w:pos="0"/>
        </w:tabs>
        <w:ind w:left="2732" w:hanging="360"/>
      </w:pPr>
      <w:rPr>
        <w:rFonts w:cs="Times New Roman"/>
      </w:rPr>
    </w:lvl>
    <w:lvl w:ilvl="4">
      <w:start w:val="1"/>
      <w:numFmt w:val="lowerLetter"/>
      <w:lvlText w:val="%5."/>
      <w:lvlJc w:val="left"/>
      <w:pPr>
        <w:tabs>
          <w:tab w:val="num" w:pos="0"/>
        </w:tabs>
        <w:ind w:left="3452" w:hanging="360"/>
      </w:pPr>
      <w:rPr>
        <w:rFonts w:cs="Times New Roman"/>
      </w:rPr>
    </w:lvl>
    <w:lvl w:ilvl="5">
      <w:start w:val="1"/>
      <w:numFmt w:val="lowerRoman"/>
      <w:lvlText w:val="%6."/>
      <w:lvlJc w:val="right"/>
      <w:pPr>
        <w:tabs>
          <w:tab w:val="num" w:pos="0"/>
        </w:tabs>
        <w:ind w:left="4172" w:hanging="180"/>
      </w:pPr>
      <w:rPr>
        <w:rFonts w:cs="Times New Roman"/>
      </w:rPr>
    </w:lvl>
    <w:lvl w:ilvl="6">
      <w:start w:val="1"/>
      <w:numFmt w:val="decimal"/>
      <w:lvlText w:val="%7."/>
      <w:lvlJc w:val="left"/>
      <w:pPr>
        <w:tabs>
          <w:tab w:val="num" w:pos="0"/>
        </w:tabs>
        <w:ind w:left="4892" w:hanging="360"/>
      </w:pPr>
      <w:rPr>
        <w:rFonts w:cs="Times New Roman"/>
      </w:rPr>
    </w:lvl>
    <w:lvl w:ilvl="7">
      <w:start w:val="1"/>
      <w:numFmt w:val="lowerLetter"/>
      <w:lvlText w:val="%8."/>
      <w:lvlJc w:val="left"/>
      <w:pPr>
        <w:tabs>
          <w:tab w:val="num" w:pos="0"/>
        </w:tabs>
        <w:ind w:left="5612" w:hanging="360"/>
      </w:pPr>
      <w:rPr>
        <w:rFonts w:cs="Times New Roman"/>
      </w:rPr>
    </w:lvl>
    <w:lvl w:ilvl="8">
      <w:start w:val="1"/>
      <w:numFmt w:val="lowerRoman"/>
      <w:lvlText w:val="%9."/>
      <w:lvlJc w:val="right"/>
      <w:pPr>
        <w:tabs>
          <w:tab w:val="num" w:pos="0"/>
        </w:tabs>
        <w:ind w:left="6332" w:hanging="180"/>
      </w:pPr>
      <w:rPr>
        <w:rFonts w:cs="Times New Roman"/>
      </w:rPr>
    </w:lvl>
  </w:abstractNum>
  <w:abstractNum w:abstractNumId="14">
    <w:lvl w:ilvl="0">
      <w:start w:val="1"/>
      <w:numFmt w:val="lowerLetter"/>
      <w:lvlText w:val="%1)"/>
      <w:lvlJc w:val="left"/>
      <w:pPr>
        <w:tabs>
          <w:tab w:val="num" w:pos="0"/>
        </w:tabs>
        <w:ind w:left="572" w:hanging="360"/>
      </w:pPr>
      <w:rPr>
        <w:rFonts w:cs="Times New Roman"/>
      </w:rPr>
    </w:lvl>
    <w:lvl w:ilvl="1">
      <w:start w:val="1"/>
      <w:numFmt w:val="lowerLetter"/>
      <w:lvlText w:val="%2."/>
      <w:lvlJc w:val="left"/>
      <w:pPr>
        <w:tabs>
          <w:tab w:val="num" w:pos="0"/>
        </w:tabs>
        <w:ind w:left="1292" w:hanging="360"/>
      </w:pPr>
      <w:rPr>
        <w:rFonts w:cs="Times New Roman"/>
      </w:rPr>
    </w:lvl>
    <w:lvl w:ilvl="2">
      <w:start w:val="1"/>
      <w:numFmt w:val="lowerRoman"/>
      <w:lvlText w:val="%3."/>
      <w:lvlJc w:val="right"/>
      <w:pPr>
        <w:tabs>
          <w:tab w:val="num" w:pos="0"/>
        </w:tabs>
        <w:ind w:left="2012" w:hanging="180"/>
      </w:pPr>
      <w:rPr>
        <w:rFonts w:cs="Times New Roman"/>
      </w:rPr>
    </w:lvl>
    <w:lvl w:ilvl="3">
      <w:start w:val="1"/>
      <w:numFmt w:val="decimal"/>
      <w:lvlText w:val="%4."/>
      <w:lvlJc w:val="left"/>
      <w:pPr>
        <w:tabs>
          <w:tab w:val="num" w:pos="0"/>
        </w:tabs>
        <w:ind w:left="2732" w:hanging="360"/>
      </w:pPr>
      <w:rPr>
        <w:rFonts w:cs="Times New Roman"/>
      </w:rPr>
    </w:lvl>
    <w:lvl w:ilvl="4">
      <w:start w:val="1"/>
      <w:numFmt w:val="lowerLetter"/>
      <w:lvlText w:val="%5."/>
      <w:lvlJc w:val="left"/>
      <w:pPr>
        <w:tabs>
          <w:tab w:val="num" w:pos="0"/>
        </w:tabs>
        <w:ind w:left="3452" w:hanging="360"/>
      </w:pPr>
      <w:rPr>
        <w:rFonts w:cs="Times New Roman"/>
      </w:rPr>
    </w:lvl>
    <w:lvl w:ilvl="5">
      <w:start w:val="1"/>
      <w:numFmt w:val="lowerRoman"/>
      <w:lvlText w:val="%6."/>
      <w:lvlJc w:val="right"/>
      <w:pPr>
        <w:tabs>
          <w:tab w:val="num" w:pos="0"/>
        </w:tabs>
        <w:ind w:left="4172" w:hanging="180"/>
      </w:pPr>
      <w:rPr>
        <w:rFonts w:cs="Times New Roman"/>
      </w:rPr>
    </w:lvl>
    <w:lvl w:ilvl="6">
      <w:start w:val="1"/>
      <w:numFmt w:val="decimal"/>
      <w:lvlText w:val="%7."/>
      <w:lvlJc w:val="left"/>
      <w:pPr>
        <w:tabs>
          <w:tab w:val="num" w:pos="0"/>
        </w:tabs>
        <w:ind w:left="4892" w:hanging="360"/>
      </w:pPr>
      <w:rPr>
        <w:rFonts w:cs="Times New Roman"/>
      </w:rPr>
    </w:lvl>
    <w:lvl w:ilvl="7">
      <w:start w:val="1"/>
      <w:numFmt w:val="lowerLetter"/>
      <w:lvlText w:val="%8."/>
      <w:lvlJc w:val="left"/>
      <w:pPr>
        <w:tabs>
          <w:tab w:val="num" w:pos="0"/>
        </w:tabs>
        <w:ind w:left="5612" w:hanging="360"/>
      </w:pPr>
      <w:rPr>
        <w:rFonts w:cs="Times New Roman"/>
      </w:rPr>
    </w:lvl>
    <w:lvl w:ilvl="8">
      <w:start w:val="1"/>
      <w:numFmt w:val="lowerRoman"/>
      <w:lvlText w:val="%9."/>
      <w:lvlJc w:val="right"/>
      <w:pPr>
        <w:tabs>
          <w:tab w:val="num" w:pos="0"/>
        </w:tabs>
        <w:ind w:left="6332" w:hanging="180"/>
      </w:pPr>
      <w:rPr>
        <w:rFonts w:cs="Times New Roman"/>
      </w:rPr>
    </w:lvl>
  </w:abstractNum>
  <w:abstractNum w:abstractNumId="15">
    <w:lvl w:ilvl="0">
      <w:start w:val="1"/>
      <w:numFmt w:val="lowerLetter"/>
      <w:lvlText w:val="%1)"/>
      <w:lvlJc w:val="left"/>
      <w:pPr>
        <w:tabs>
          <w:tab w:val="num" w:pos="0"/>
        </w:tabs>
        <w:ind w:left="572" w:hanging="360"/>
      </w:pPr>
      <w:rPr>
        <w:rFonts w:cs="Times New Roman"/>
      </w:rPr>
    </w:lvl>
    <w:lvl w:ilvl="1">
      <w:start w:val="1"/>
      <w:numFmt w:val="lowerLetter"/>
      <w:lvlText w:val="%2."/>
      <w:lvlJc w:val="left"/>
      <w:pPr>
        <w:tabs>
          <w:tab w:val="num" w:pos="0"/>
        </w:tabs>
        <w:ind w:left="1292" w:hanging="360"/>
      </w:pPr>
      <w:rPr>
        <w:rFonts w:cs="Times New Roman"/>
      </w:rPr>
    </w:lvl>
    <w:lvl w:ilvl="2">
      <w:start w:val="1"/>
      <w:numFmt w:val="lowerRoman"/>
      <w:lvlText w:val="%3."/>
      <w:lvlJc w:val="right"/>
      <w:pPr>
        <w:tabs>
          <w:tab w:val="num" w:pos="0"/>
        </w:tabs>
        <w:ind w:left="2012" w:hanging="180"/>
      </w:pPr>
      <w:rPr>
        <w:rFonts w:cs="Times New Roman"/>
      </w:rPr>
    </w:lvl>
    <w:lvl w:ilvl="3">
      <w:start w:val="1"/>
      <w:numFmt w:val="decimal"/>
      <w:lvlText w:val="%4."/>
      <w:lvlJc w:val="left"/>
      <w:pPr>
        <w:tabs>
          <w:tab w:val="num" w:pos="0"/>
        </w:tabs>
        <w:ind w:left="2732" w:hanging="360"/>
      </w:pPr>
      <w:rPr>
        <w:rFonts w:cs="Times New Roman"/>
      </w:rPr>
    </w:lvl>
    <w:lvl w:ilvl="4">
      <w:start w:val="1"/>
      <w:numFmt w:val="lowerLetter"/>
      <w:lvlText w:val="%5."/>
      <w:lvlJc w:val="left"/>
      <w:pPr>
        <w:tabs>
          <w:tab w:val="num" w:pos="0"/>
        </w:tabs>
        <w:ind w:left="3452" w:hanging="360"/>
      </w:pPr>
      <w:rPr>
        <w:rFonts w:cs="Times New Roman"/>
      </w:rPr>
    </w:lvl>
    <w:lvl w:ilvl="5">
      <w:start w:val="1"/>
      <w:numFmt w:val="lowerRoman"/>
      <w:lvlText w:val="%6."/>
      <w:lvlJc w:val="right"/>
      <w:pPr>
        <w:tabs>
          <w:tab w:val="num" w:pos="0"/>
        </w:tabs>
        <w:ind w:left="4172" w:hanging="180"/>
      </w:pPr>
      <w:rPr>
        <w:rFonts w:cs="Times New Roman"/>
      </w:rPr>
    </w:lvl>
    <w:lvl w:ilvl="6">
      <w:start w:val="1"/>
      <w:numFmt w:val="decimal"/>
      <w:lvlText w:val="%7."/>
      <w:lvlJc w:val="left"/>
      <w:pPr>
        <w:tabs>
          <w:tab w:val="num" w:pos="0"/>
        </w:tabs>
        <w:ind w:left="4892" w:hanging="360"/>
      </w:pPr>
      <w:rPr>
        <w:rFonts w:cs="Times New Roman"/>
      </w:rPr>
    </w:lvl>
    <w:lvl w:ilvl="7">
      <w:start w:val="1"/>
      <w:numFmt w:val="lowerLetter"/>
      <w:lvlText w:val="%8."/>
      <w:lvlJc w:val="left"/>
      <w:pPr>
        <w:tabs>
          <w:tab w:val="num" w:pos="0"/>
        </w:tabs>
        <w:ind w:left="5612" w:hanging="360"/>
      </w:pPr>
      <w:rPr>
        <w:rFonts w:cs="Times New Roman"/>
      </w:rPr>
    </w:lvl>
    <w:lvl w:ilvl="8">
      <w:start w:val="1"/>
      <w:numFmt w:val="lowerRoman"/>
      <w:lvlText w:val="%9."/>
      <w:lvlJc w:val="right"/>
      <w:pPr>
        <w:tabs>
          <w:tab w:val="num" w:pos="0"/>
        </w:tabs>
        <w:ind w:left="6332" w:hanging="180"/>
      </w:pPr>
      <w:rPr>
        <w:rFonts w:cs="Times New Roman"/>
      </w:rPr>
    </w:lvl>
  </w:abstractNum>
  <w:abstractNum w:abstractNumId="16">
    <w:lvl w:ilvl="0">
      <w:start w:val="1"/>
      <w:numFmt w:val="lowerLetter"/>
      <w:lvlText w:val="%1)"/>
      <w:lvlJc w:val="left"/>
      <w:pPr>
        <w:tabs>
          <w:tab w:val="num" w:pos="0"/>
        </w:tabs>
        <w:ind w:left="572" w:hanging="360"/>
      </w:pPr>
      <w:rPr>
        <w:rFonts w:cs="Times New Roman"/>
      </w:rPr>
    </w:lvl>
    <w:lvl w:ilvl="1">
      <w:start w:val="1"/>
      <w:numFmt w:val="lowerLetter"/>
      <w:lvlText w:val="%2."/>
      <w:lvlJc w:val="left"/>
      <w:pPr>
        <w:tabs>
          <w:tab w:val="num" w:pos="0"/>
        </w:tabs>
        <w:ind w:left="1292" w:hanging="360"/>
      </w:pPr>
      <w:rPr>
        <w:rFonts w:cs="Times New Roman"/>
      </w:rPr>
    </w:lvl>
    <w:lvl w:ilvl="2">
      <w:start w:val="1"/>
      <w:numFmt w:val="lowerRoman"/>
      <w:lvlText w:val="%3."/>
      <w:lvlJc w:val="right"/>
      <w:pPr>
        <w:tabs>
          <w:tab w:val="num" w:pos="0"/>
        </w:tabs>
        <w:ind w:left="2012" w:hanging="180"/>
      </w:pPr>
      <w:rPr>
        <w:rFonts w:cs="Times New Roman"/>
      </w:rPr>
    </w:lvl>
    <w:lvl w:ilvl="3">
      <w:start w:val="1"/>
      <w:numFmt w:val="decimal"/>
      <w:lvlText w:val="%4."/>
      <w:lvlJc w:val="left"/>
      <w:pPr>
        <w:tabs>
          <w:tab w:val="num" w:pos="0"/>
        </w:tabs>
        <w:ind w:left="2732" w:hanging="360"/>
      </w:pPr>
      <w:rPr>
        <w:rFonts w:cs="Times New Roman"/>
      </w:rPr>
    </w:lvl>
    <w:lvl w:ilvl="4">
      <w:start w:val="1"/>
      <w:numFmt w:val="lowerLetter"/>
      <w:lvlText w:val="%5."/>
      <w:lvlJc w:val="left"/>
      <w:pPr>
        <w:tabs>
          <w:tab w:val="num" w:pos="0"/>
        </w:tabs>
        <w:ind w:left="3452" w:hanging="360"/>
      </w:pPr>
      <w:rPr>
        <w:rFonts w:cs="Times New Roman"/>
      </w:rPr>
    </w:lvl>
    <w:lvl w:ilvl="5">
      <w:start w:val="1"/>
      <w:numFmt w:val="lowerRoman"/>
      <w:lvlText w:val="%6."/>
      <w:lvlJc w:val="right"/>
      <w:pPr>
        <w:tabs>
          <w:tab w:val="num" w:pos="0"/>
        </w:tabs>
        <w:ind w:left="4172" w:hanging="180"/>
      </w:pPr>
      <w:rPr>
        <w:rFonts w:cs="Times New Roman"/>
      </w:rPr>
    </w:lvl>
    <w:lvl w:ilvl="6">
      <w:start w:val="1"/>
      <w:numFmt w:val="decimal"/>
      <w:lvlText w:val="%7."/>
      <w:lvlJc w:val="left"/>
      <w:pPr>
        <w:tabs>
          <w:tab w:val="num" w:pos="0"/>
        </w:tabs>
        <w:ind w:left="4892" w:hanging="360"/>
      </w:pPr>
      <w:rPr>
        <w:rFonts w:cs="Times New Roman"/>
      </w:rPr>
    </w:lvl>
    <w:lvl w:ilvl="7">
      <w:start w:val="1"/>
      <w:numFmt w:val="lowerLetter"/>
      <w:lvlText w:val="%8."/>
      <w:lvlJc w:val="left"/>
      <w:pPr>
        <w:tabs>
          <w:tab w:val="num" w:pos="0"/>
        </w:tabs>
        <w:ind w:left="5612" w:hanging="360"/>
      </w:pPr>
      <w:rPr>
        <w:rFonts w:cs="Times New Roman"/>
      </w:rPr>
    </w:lvl>
    <w:lvl w:ilvl="8">
      <w:start w:val="1"/>
      <w:numFmt w:val="lowerRoman"/>
      <w:lvlText w:val="%9."/>
      <w:lvlJc w:val="right"/>
      <w:pPr>
        <w:tabs>
          <w:tab w:val="num" w:pos="0"/>
        </w:tabs>
        <w:ind w:left="6332" w:hanging="180"/>
      </w:pPr>
      <w:rPr>
        <w:rFonts w:cs="Times New Roman"/>
      </w:rPr>
    </w:lvl>
  </w:abstractNum>
  <w:abstractNum w:abstractNumId="17">
    <w:lvl w:ilvl="0">
      <w:start w:val="1"/>
      <w:numFmt w:val="decimal"/>
      <w:lvlText w:val="%1."/>
      <w:lvlJc w:val="left"/>
      <w:pPr>
        <w:tabs>
          <w:tab w:val="num" w:pos="0"/>
        </w:tabs>
        <w:ind w:left="930" w:hanging="360"/>
      </w:pPr>
      <w:rPr>
        <w:rFonts w:cs="Times New Roman"/>
      </w:rPr>
    </w:lvl>
    <w:lvl w:ilvl="1">
      <w:start w:val="1"/>
      <w:numFmt w:val="lowerLetter"/>
      <w:lvlText w:val="%2."/>
      <w:lvlJc w:val="left"/>
      <w:pPr>
        <w:tabs>
          <w:tab w:val="num" w:pos="0"/>
        </w:tabs>
        <w:ind w:left="1650" w:hanging="360"/>
      </w:pPr>
      <w:rPr>
        <w:rFonts w:cs="Times New Roman"/>
      </w:rPr>
    </w:lvl>
    <w:lvl w:ilvl="2">
      <w:start w:val="1"/>
      <w:numFmt w:val="lowerRoman"/>
      <w:lvlText w:val="%3."/>
      <w:lvlJc w:val="right"/>
      <w:pPr>
        <w:tabs>
          <w:tab w:val="num" w:pos="0"/>
        </w:tabs>
        <w:ind w:left="2370" w:hanging="180"/>
      </w:pPr>
      <w:rPr>
        <w:rFonts w:cs="Times New Roman"/>
      </w:rPr>
    </w:lvl>
    <w:lvl w:ilvl="3">
      <w:start w:val="1"/>
      <w:numFmt w:val="decimal"/>
      <w:lvlText w:val="%4."/>
      <w:lvlJc w:val="left"/>
      <w:pPr>
        <w:tabs>
          <w:tab w:val="num" w:pos="0"/>
        </w:tabs>
        <w:ind w:left="3090" w:hanging="360"/>
      </w:pPr>
      <w:rPr>
        <w:rFonts w:cs="Times New Roman"/>
      </w:rPr>
    </w:lvl>
    <w:lvl w:ilvl="4">
      <w:start w:val="1"/>
      <w:numFmt w:val="lowerLetter"/>
      <w:lvlText w:val="%5."/>
      <w:lvlJc w:val="left"/>
      <w:pPr>
        <w:tabs>
          <w:tab w:val="num" w:pos="0"/>
        </w:tabs>
        <w:ind w:left="3810" w:hanging="360"/>
      </w:pPr>
      <w:rPr>
        <w:rFonts w:cs="Times New Roman"/>
      </w:rPr>
    </w:lvl>
    <w:lvl w:ilvl="5">
      <w:start w:val="1"/>
      <w:numFmt w:val="lowerRoman"/>
      <w:lvlText w:val="%6."/>
      <w:lvlJc w:val="right"/>
      <w:pPr>
        <w:tabs>
          <w:tab w:val="num" w:pos="0"/>
        </w:tabs>
        <w:ind w:left="4530" w:hanging="180"/>
      </w:pPr>
      <w:rPr>
        <w:rFonts w:cs="Times New Roman"/>
      </w:rPr>
    </w:lvl>
    <w:lvl w:ilvl="6">
      <w:start w:val="1"/>
      <w:numFmt w:val="decimal"/>
      <w:lvlText w:val="%7."/>
      <w:lvlJc w:val="left"/>
      <w:pPr>
        <w:tabs>
          <w:tab w:val="num" w:pos="0"/>
        </w:tabs>
        <w:ind w:left="5250" w:hanging="360"/>
      </w:pPr>
      <w:rPr>
        <w:rFonts w:cs="Times New Roman"/>
      </w:rPr>
    </w:lvl>
    <w:lvl w:ilvl="7">
      <w:start w:val="1"/>
      <w:numFmt w:val="lowerLetter"/>
      <w:lvlText w:val="%8."/>
      <w:lvlJc w:val="left"/>
      <w:pPr>
        <w:tabs>
          <w:tab w:val="num" w:pos="0"/>
        </w:tabs>
        <w:ind w:left="5970" w:hanging="360"/>
      </w:pPr>
      <w:rPr>
        <w:rFonts w:cs="Times New Roman"/>
      </w:rPr>
    </w:lvl>
    <w:lvl w:ilvl="8">
      <w:start w:val="1"/>
      <w:numFmt w:val="lowerRoman"/>
      <w:lvlText w:val="%9."/>
      <w:lvlJc w:val="right"/>
      <w:pPr>
        <w:tabs>
          <w:tab w:val="num" w:pos="0"/>
        </w:tabs>
        <w:ind w:left="6690" w:hanging="180"/>
      </w:pPr>
      <w:rPr>
        <w:rFonts w:cs="Times New Roman"/>
      </w:rPr>
    </w:lvl>
  </w:abstractNum>
  <w:abstractNum w:abstractNumId="18">
    <w:lvl w:ilvl="0">
      <w:start w:val="1"/>
      <w:numFmt w:val="lowerLetter"/>
      <w:lvlText w:val="%1)"/>
      <w:lvlJc w:val="left"/>
      <w:pPr>
        <w:tabs>
          <w:tab w:val="num" w:pos="0"/>
        </w:tabs>
        <w:ind w:left="862" w:hanging="360"/>
      </w:pPr>
    </w:lvl>
    <w:lvl w:ilvl="1">
      <w:start w:val="1"/>
      <w:numFmt w:val="lowerLetter"/>
      <w:lvlText w:val="%2."/>
      <w:lvlJc w:val="left"/>
      <w:pPr>
        <w:tabs>
          <w:tab w:val="num" w:pos="0"/>
        </w:tabs>
        <w:ind w:left="1582" w:hanging="360"/>
      </w:pPr>
    </w:lvl>
    <w:lvl w:ilvl="2">
      <w:start w:val="1"/>
      <w:numFmt w:val="lowerRoman"/>
      <w:lvlText w:val="%3."/>
      <w:lvlJc w:val="right"/>
      <w:pPr>
        <w:tabs>
          <w:tab w:val="num" w:pos="0"/>
        </w:tabs>
        <w:ind w:left="2302" w:hanging="180"/>
      </w:pPr>
    </w:lvl>
    <w:lvl w:ilvl="3">
      <w:start w:val="1"/>
      <w:numFmt w:val="decimal"/>
      <w:lvlText w:val="%4."/>
      <w:lvlJc w:val="left"/>
      <w:pPr>
        <w:tabs>
          <w:tab w:val="num" w:pos="0"/>
        </w:tabs>
        <w:ind w:left="3022" w:hanging="360"/>
      </w:pPr>
    </w:lvl>
    <w:lvl w:ilvl="4">
      <w:start w:val="1"/>
      <w:numFmt w:val="lowerLetter"/>
      <w:lvlText w:val="%5."/>
      <w:lvlJc w:val="left"/>
      <w:pPr>
        <w:tabs>
          <w:tab w:val="num" w:pos="0"/>
        </w:tabs>
        <w:ind w:left="3742" w:hanging="360"/>
      </w:pPr>
    </w:lvl>
    <w:lvl w:ilvl="5">
      <w:start w:val="1"/>
      <w:numFmt w:val="lowerRoman"/>
      <w:lvlText w:val="%6."/>
      <w:lvlJc w:val="right"/>
      <w:pPr>
        <w:tabs>
          <w:tab w:val="num" w:pos="0"/>
        </w:tabs>
        <w:ind w:left="4462" w:hanging="180"/>
      </w:pPr>
    </w:lvl>
    <w:lvl w:ilvl="6">
      <w:start w:val="1"/>
      <w:numFmt w:val="decimal"/>
      <w:lvlText w:val="%7."/>
      <w:lvlJc w:val="left"/>
      <w:pPr>
        <w:tabs>
          <w:tab w:val="num" w:pos="0"/>
        </w:tabs>
        <w:ind w:left="5182" w:hanging="360"/>
      </w:pPr>
    </w:lvl>
    <w:lvl w:ilvl="7">
      <w:start w:val="1"/>
      <w:numFmt w:val="lowerLetter"/>
      <w:lvlText w:val="%8."/>
      <w:lvlJc w:val="left"/>
      <w:pPr>
        <w:tabs>
          <w:tab w:val="num" w:pos="0"/>
        </w:tabs>
        <w:ind w:left="5902" w:hanging="360"/>
      </w:pPr>
    </w:lvl>
    <w:lvl w:ilvl="8">
      <w:start w:val="1"/>
      <w:numFmt w:val="lowerRoman"/>
      <w:lvlText w:val="%9."/>
      <w:lvlJc w:val="right"/>
      <w:pPr>
        <w:tabs>
          <w:tab w:val="num" w:pos="0"/>
        </w:tabs>
        <w:ind w:left="6622" w:hanging="180"/>
      </w:pPr>
    </w:lvl>
  </w:abstractNum>
  <w:abstractNum w:abstractNumId="19">
    <w:lvl w:ilvl="0">
      <w:start w:val="1"/>
      <w:numFmt w:val="lowerLetter"/>
      <w:lvlText w:val="%1)"/>
      <w:lvlJc w:val="left"/>
      <w:pPr>
        <w:tabs>
          <w:tab w:val="num" w:pos="0"/>
        </w:tabs>
        <w:ind w:left="862" w:hanging="360"/>
      </w:pPr>
    </w:lvl>
    <w:lvl w:ilvl="1">
      <w:start w:val="1"/>
      <w:numFmt w:val="lowerLetter"/>
      <w:lvlText w:val="%2."/>
      <w:lvlJc w:val="left"/>
      <w:pPr>
        <w:tabs>
          <w:tab w:val="num" w:pos="0"/>
        </w:tabs>
        <w:ind w:left="1582" w:hanging="360"/>
      </w:pPr>
    </w:lvl>
    <w:lvl w:ilvl="2">
      <w:start w:val="1"/>
      <w:numFmt w:val="lowerRoman"/>
      <w:lvlText w:val="%3."/>
      <w:lvlJc w:val="right"/>
      <w:pPr>
        <w:tabs>
          <w:tab w:val="num" w:pos="0"/>
        </w:tabs>
        <w:ind w:left="2302" w:hanging="180"/>
      </w:pPr>
    </w:lvl>
    <w:lvl w:ilvl="3">
      <w:start w:val="1"/>
      <w:numFmt w:val="decimal"/>
      <w:lvlText w:val="%4."/>
      <w:lvlJc w:val="left"/>
      <w:pPr>
        <w:tabs>
          <w:tab w:val="num" w:pos="0"/>
        </w:tabs>
        <w:ind w:left="3022" w:hanging="360"/>
      </w:pPr>
    </w:lvl>
    <w:lvl w:ilvl="4">
      <w:start w:val="1"/>
      <w:numFmt w:val="lowerLetter"/>
      <w:lvlText w:val="%5."/>
      <w:lvlJc w:val="left"/>
      <w:pPr>
        <w:tabs>
          <w:tab w:val="num" w:pos="0"/>
        </w:tabs>
        <w:ind w:left="3742" w:hanging="360"/>
      </w:pPr>
    </w:lvl>
    <w:lvl w:ilvl="5">
      <w:start w:val="1"/>
      <w:numFmt w:val="lowerRoman"/>
      <w:lvlText w:val="%6."/>
      <w:lvlJc w:val="right"/>
      <w:pPr>
        <w:tabs>
          <w:tab w:val="num" w:pos="0"/>
        </w:tabs>
        <w:ind w:left="4462" w:hanging="180"/>
      </w:pPr>
    </w:lvl>
    <w:lvl w:ilvl="6">
      <w:start w:val="1"/>
      <w:numFmt w:val="decimal"/>
      <w:lvlText w:val="%7."/>
      <w:lvlJc w:val="left"/>
      <w:pPr>
        <w:tabs>
          <w:tab w:val="num" w:pos="0"/>
        </w:tabs>
        <w:ind w:left="5182" w:hanging="360"/>
      </w:pPr>
    </w:lvl>
    <w:lvl w:ilvl="7">
      <w:start w:val="1"/>
      <w:numFmt w:val="lowerLetter"/>
      <w:lvlText w:val="%8."/>
      <w:lvlJc w:val="left"/>
      <w:pPr>
        <w:tabs>
          <w:tab w:val="num" w:pos="0"/>
        </w:tabs>
        <w:ind w:left="5902" w:hanging="360"/>
      </w:pPr>
    </w:lvl>
    <w:lvl w:ilvl="8">
      <w:start w:val="1"/>
      <w:numFmt w:val="lowerRoman"/>
      <w:lvlText w:val="%9."/>
      <w:lvlJc w:val="right"/>
      <w:pPr>
        <w:tabs>
          <w:tab w:val="num" w:pos="0"/>
        </w:tabs>
        <w:ind w:left="6622" w:hanging="180"/>
      </w:pPr>
    </w:lvl>
  </w:abstractNum>
  <w:abstractNum w:abstractNumId="20">
    <w:lvl w:ilvl="0">
      <w:start w:val="1"/>
      <w:numFmt w:val="lowerLetter"/>
      <w:lvlText w:val="%1)"/>
      <w:lvlJc w:val="left"/>
      <w:pPr>
        <w:tabs>
          <w:tab w:val="num" w:pos="0"/>
        </w:tabs>
        <w:ind w:left="862" w:hanging="360"/>
      </w:pPr>
    </w:lvl>
    <w:lvl w:ilvl="1">
      <w:start w:val="1"/>
      <w:numFmt w:val="lowerLetter"/>
      <w:lvlText w:val="%2."/>
      <w:lvlJc w:val="left"/>
      <w:pPr>
        <w:tabs>
          <w:tab w:val="num" w:pos="0"/>
        </w:tabs>
        <w:ind w:left="1582" w:hanging="360"/>
      </w:pPr>
    </w:lvl>
    <w:lvl w:ilvl="2">
      <w:start w:val="1"/>
      <w:numFmt w:val="lowerRoman"/>
      <w:lvlText w:val="%3."/>
      <w:lvlJc w:val="right"/>
      <w:pPr>
        <w:tabs>
          <w:tab w:val="num" w:pos="0"/>
        </w:tabs>
        <w:ind w:left="2302" w:hanging="180"/>
      </w:pPr>
    </w:lvl>
    <w:lvl w:ilvl="3">
      <w:start w:val="1"/>
      <w:numFmt w:val="decimal"/>
      <w:lvlText w:val="%4."/>
      <w:lvlJc w:val="left"/>
      <w:pPr>
        <w:tabs>
          <w:tab w:val="num" w:pos="0"/>
        </w:tabs>
        <w:ind w:left="3022" w:hanging="360"/>
      </w:pPr>
    </w:lvl>
    <w:lvl w:ilvl="4">
      <w:start w:val="1"/>
      <w:numFmt w:val="lowerLetter"/>
      <w:lvlText w:val="%5."/>
      <w:lvlJc w:val="left"/>
      <w:pPr>
        <w:tabs>
          <w:tab w:val="num" w:pos="0"/>
        </w:tabs>
        <w:ind w:left="3742" w:hanging="360"/>
      </w:pPr>
    </w:lvl>
    <w:lvl w:ilvl="5">
      <w:start w:val="1"/>
      <w:numFmt w:val="lowerRoman"/>
      <w:lvlText w:val="%6."/>
      <w:lvlJc w:val="right"/>
      <w:pPr>
        <w:tabs>
          <w:tab w:val="num" w:pos="0"/>
        </w:tabs>
        <w:ind w:left="4462" w:hanging="180"/>
      </w:pPr>
    </w:lvl>
    <w:lvl w:ilvl="6">
      <w:start w:val="1"/>
      <w:numFmt w:val="decimal"/>
      <w:lvlText w:val="%7."/>
      <w:lvlJc w:val="left"/>
      <w:pPr>
        <w:tabs>
          <w:tab w:val="num" w:pos="0"/>
        </w:tabs>
        <w:ind w:left="5182" w:hanging="360"/>
      </w:pPr>
    </w:lvl>
    <w:lvl w:ilvl="7">
      <w:start w:val="1"/>
      <w:numFmt w:val="lowerLetter"/>
      <w:lvlText w:val="%8."/>
      <w:lvlJc w:val="left"/>
      <w:pPr>
        <w:tabs>
          <w:tab w:val="num" w:pos="0"/>
        </w:tabs>
        <w:ind w:left="5902" w:hanging="360"/>
      </w:pPr>
    </w:lvl>
    <w:lvl w:ilvl="8">
      <w:start w:val="1"/>
      <w:numFmt w:val="lowerRoman"/>
      <w:lvlText w:val="%9."/>
      <w:lvlJc w:val="right"/>
      <w:pPr>
        <w:tabs>
          <w:tab w:val="num" w:pos="0"/>
        </w:tabs>
        <w:ind w:left="6622" w:hanging="180"/>
      </w:pPr>
    </w:lvl>
  </w:abstractNum>
  <w:abstractNum w:abstractNumId="2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it-IT" w:eastAsia="it-IT"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a6737"/>
    <w:pPr>
      <w:widowControl w:val="false"/>
      <w:suppressAutoHyphens w:val="true"/>
      <w:bidi w:val="0"/>
      <w:spacing w:before="0" w:after="0"/>
      <w:jc w:val="left"/>
    </w:pPr>
    <w:rPr>
      <w:rFonts w:ascii="Times New Roman" w:hAnsi="Times New Roman" w:eastAsia="Times New Roman" w:cs="Times New Roman"/>
      <w:color w:val="auto"/>
      <w:kern w:val="0"/>
      <w:sz w:val="22"/>
      <w:szCs w:val="22"/>
      <w:lang w:eastAsia="en-US" w:val="it-IT" w:bidi="ar-SA"/>
    </w:rPr>
  </w:style>
  <w:style w:type="paragraph" w:styleId="Titolo1">
    <w:name w:val="Heading 1"/>
    <w:basedOn w:val="Normal"/>
    <w:link w:val="Titolo1Carattere"/>
    <w:uiPriority w:val="99"/>
    <w:qFormat/>
    <w:rsid w:val="006a6737"/>
    <w:pPr>
      <w:ind w:left="44" w:hanging="0"/>
      <w:jc w:val="center"/>
      <w:outlineLvl w:val="0"/>
    </w:pPr>
    <w:rPr>
      <w:b/>
      <w:bCs/>
      <w:sz w:val="28"/>
      <w:szCs w:val="28"/>
    </w:rPr>
  </w:style>
  <w:style w:type="character" w:styleId="DefaultParagraphFont" w:default="1">
    <w:name w:val="Default Paragraph Font"/>
    <w:uiPriority w:val="1"/>
    <w:semiHidden/>
    <w:unhideWhenUsed/>
    <w:qFormat/>
    <w:rPr/>
  </w:style>
  <w:style w:type="character" w:styleId="Titolo1Carattere" w:customStyle="1">
    <w:name w:val="Titolo 1 Carattere"/>
    <w:link w:val="Titolo1"/>
    <w:uiPriority w:val="9"/>
    <w:qFormat/>
    <w:rsid w:val="00f82ef8"/>
    <w:rPr>
      <w:rFonts w:ascii="Cambria" w:hAnsi="Cambria" w:eastAsia="Times New Roman" w:cs="Times New Roman"/>
      <w:b/>
      <w:bCs/>
      <w:kern w:val="2"/>
      <w:sz w:val="32"/>
      <w:szCs w:val="32"/>
      <w:lang w:eastAsia="en-US"/>
    </w:rPr>
  </w:style>
  <w:style w:type="character" w:styleId="CorpotestoCarattere" w:customStyle="1">
    <w:name w:val="Corpo testo Carattere"/>
    <w:link w:val="Corpotesto"/>
    <w:uiPriority w:val="99"/>
    <w:semiHidden/>
    <w:qFormat/>
    <w:rsid w:val="00f82ef8"/>
    <w:rPr>
      <w:rFonts w:ascii="Times New Roman" w:hAnsi="Times New Roman" w:eastAsia="Times New Roman"/>
      <w:lang w:eastAsia="en-US"/>
    </w:rPr>
  </w:style>
  <w:style w:type="character" w:styleId="TitoloCarattere" w:customStyle="1">
    <w:name w:val="Titolo Carattere"/>
    <w:link w:val="Titolo"/>
    <w:uiPriority w:val="10"/>
    <w:qFormat/>
    <w:rsid w:val="00f82ef8"/>
    <w:rPr>
      <w:rFonts w:ascii="Cambria" w:hAnsi="Cambria" w:eastAsia="Times New Roman" w:cs="Times New Roman"/>
      <w:b/>
      <w:bCs/>
      <w:kern w:val="2"/>
      <w:sz w:val="32"/>
      <w:szCs w:val="32"/>
      <w:lang w:eastAsia="en-US"/>
    </w:rPr>
  </w:style>
  <w:style w:type="character" w:styleId="CollegamentoInternet" w:customStyle="1">
    <w:name w:val="Collegamento Internet"/>
    <w:uiPriority w:val="99"/>
    <w:rsid w:val="00a03d4d"/>
    <w:rPr>
      <w:rFonts w:cs="Times New Roman"/>
      <w:color w:val="0000FF"/>
      <w:u w:val="single"/>
    </w:rPr>
  </w:style>
  <w:style w:type="character" w:styleId="Menzionenonrisolta1" w:customStyle="1">
    <w:name w:val="Menzione non risolta1"/>
    <w:uiPriority w:val="99"/>
    <w:semiHidden/>
    <w:qFormat/>
    <w:rsid w:val="00a03d4d"/>
    <w:rPr>
      <w:rFonts w:cs="Times New Roman"/>
      <w:color w:val="605E5C"/>
      <w:shd w:fill="E1DFDD" w:val="clear"/>
    </w:rPr>
  </w:style>
  <w:style w:type="character" w:styleId="IntestazioneCarattere" w:customStyle="1">
    <w:name w:val="Intestazione Carattere"/>
    <w:link w:val="Intestazione"/>
    <w:uiPriority w:val="99"/>
    <w:qFormat/>
    <w:rsid w:val="00206fa8"/>
    <w:rPr>
      <w:rFonts w:ascii="Times New Roman" w:hAnsi="Times New Roman" w:eastAsia="Times New Roman"/>
      <w:lang w:eastAsia="en-US"/>
    </w:rPr>
  </w:style>
  <w:style w:type="character" w:styleId="PidipaginaCarattere" w:customStyle="1">
    <w:name w:val="Piè di pagina Carattere"/>
    <w:link w:val="Pidipagina"/>
    <w:uiPriority w:val="99"/>
    <w:qFormat/>
    <w:rsid w:val="00206fa8"/>
    <w:rPr>
      <w:rFonts w:ascii="Times New Roman" w:hAnsi="Times New Roman" w:eastAsia="Times New Roman"/>
      <w:lang w:eastAsia="en-US"/>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link w:val="CorpotestoCarattere"/>
    <w:uiPriority w:val="99"/>
    <w:rsid w:val="006a6737"/>
    <w:pPr>
      <w:ind w:left="157" w:hanging="0"/>
      <w:jc w:val="both"/>
    </w:pPr>
    <w:rPr>
      <w:sz w:val="28"/>
      <w:szCs w:val="28"/>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customStyle="1">
    <w:name w:val="Indice"/>
    <w:basedOn w:val="Normal"/>
    <w:qFormat/>
    <w:pPr>
      <w:suppressLineNumbers/>
    </w:pPr>
    <w:rPr>
      <w:rFonts w:cs="Lucida Sans"/>
    </w:rPr>
  </w:style>
  <w:style w:type="paragraph" w:styleId="Titoloprincipale">
    <w:name w:val="Title"/>
    <w:basedOn w:val="Normal"/>
    <w:next w:val="Corpodeltesto"/>
    <w:link w:val="TitoloCarattere"/>
    <w:uiPriority w:val="99"/>
    <w:qFormat/>
    <w:rsid w:val="006a6737"/>
    <w:pPr>
      <w:spacing w:before="58" w:after="0"/>
      <w:ind w:left="41" w:hanging="0"/>
      <w:jc w:val="center"/>
    </w:pPr>
    <w:rPr>
      <w:sz w:val="33"/>
      <w:szCs w:val="33"/>
    </w:rPr>
  </w:style>
  <w:style w:type="paragraph" w:styleId="Caption">
    <w:name w:val="caption"/>
    <w:basedOn w:val="Normal"/>
    <w:qFormat/>
    <w:pPr>
      <w:suppressLineNumbers/>
      <w:spacing w:before="120" w:after="120"/>
    </w:pPr>
    <w:rPr>
      <w:rFonts w:cs="Lucida Sans"/>
      <w:i/>
      <w:iCs/>
      <w:sz w:val="24"/>
      <w:szCs w:val="24"/>
    </w:rPr>
  </w:style>
  <w:style w:type="paragraph" w:styleId="Indice1">
    <w:name w:val="TOC 1"/>
    <w:basedOn w:val="Normal"/>
    <w:uiPriority w:val="99"/>
    <w:rsid w:val="006a6737"/>
    <w:pPr>
      <w:spacing w:before="100" w:after="0"/>
      <w:ind w:left="157" w:hanging="0"/>
    </w:pPr>
    <w:rPr>
      <w:sz w:val="24"/>
      <w:szCs w:val="24"/>
      <w:u w:val="single" w:color="000000"/>
    </w:rPr>
  </w:style>
  <w:style w:type="paragraph" w:styleId="ListParagraph">
    <w:name w:val="List Paragraph"/>
    <w:basedOn w:val="Normal"/>
    <w:uiPriority w:val="99"/>
    <w:qFormat/>
    <w:rsid w:val="006a6737"/>
    <w:pPr>
      <w:spacing w:before="120" w:after="0"/>
      <w:ind w:left="157" w:hanging="0"/>
      <w:jc w:val="both"/>
    </w:pPr>
    <w:rPr/>
  </w:style>
  <w:style w:type="paragraph" w:styleId="TableParagraph" w:customStyle="1">
    <w:name w:val="Table Paragraph"/>
    <w:basedOn w:val="Normal"/>
    <w:uiPriority w:val="99"/>
    <w:qFormat/>
    <w:rsid w:val="006a6737"/>
    <w:pPr/>
    <w:rPr/>
  </w:style>
  <w:style w:type="paragraph" w:styleId="Intestazioneepidipagina" w:customStyle="1">
    <w:name w:val="Intestazione e piè di pagina"/>
    <w:basedOn w:val="Normal"/>
    <w:qFormat/>
    <w:pPr/>
    <w:rPr/>
  </w:style>
  <w:style w:type="paragraph" w:styleId="Intestazione">
    <w:name w:val="Header"/>
    <w:basedOn w:val="Normal"/>
    <w:link w:val="IntestazioneCarattere"/>
    <w:uiPriority w:val="99"/>
    <w:unhideWhenUsed/>
    <w:rsid w:val="00206fa8"/>
    <w:pPr>
      <w:tabs>
        <w:tab w:val="clear" w:pos="720"/>
        <w:tab w:val="center" w:pos="4819" w:leader="none"/>
        <w:tab w:val="right" w:pos="9638" w:leader="none"/>
      </w:tabs>
    </w:pPr>
    <w:rPr/>
  </w:style>
  <w:style w:type="paragraph" w:styleId="Pidipagina">
    <w:name w:val="Footer"/>
    <w:basedOn w:val="Normal"/>
    <w:link w:val="PidipaginaCarattere"/>
    <w:uiPriority w:val="99"/>
    <w:unhideWhenUsed/>
    <w:rsid w:val="00206fa8"/>
    <w:pPr>
      <w:tabs>
        <w:tab w:val="clear" w:pos="720"/>
        <w:tab w:val="center" w:pos="4819" w:leader="none"/>
        <w:tab w:val="right" w:pos="9638" w:leader="none"/>
      </w:tabs>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1">
    <w:name w:val="Table Normal1"/>
    <w:uiPriority w:val="99"/>
    <w:semiHidden/>
    <w:rsid w:val="006a6737"/>
    <w:rPr>
      <w:lang w:val="en-US" w:eastAsia="en-US"/>
      <w:sz w:val="22"/>
      <w:szCs w:val="22"/>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Application>LibreOffice/7.2.0.4$Windows_X86_64 LibreOffice_project/9a9c6381e3f7a62afc1329bd359cc48accb6435b</Application>
  <AppVersion>15.0000</AppVersion>
  <Pages>13</Pages>
  <Words>5718</Words>
  <Characters>32714</Characters>
  <CharactersWithSpaces>38191</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2025-12-19T09:18:00Z</dcterms:created>
  <dc:creator>Vittoria Bonaldo</dc:creator>
  <dc:description/>
  <dc:language>it-IT</dc:language>
  <cp:lastModifiedBy/>
  <cp:lastPrinted>2025-12-24T08:56:24Z</cp:lastPrinted>
  <dcterms:modified xsi:type="dcterms:W3CDTF">2025-12-24T08:56:48Z</dcterms:modified>
  <cp:revision>4</cp:revision>
  <dc:subject/>
  <dc:title>SCHEMA DI CONVENZIONE TRA L’UNIONE DEI COMUNI “MARMILLA” ED I COMUNI DI PER LA COSTITUZIONE ED IL FUNZIONAMENTO DELLA STAZIONE APPALTANTE IN FORMA ASSOCIATA”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Writer</vt:lpwstr>
  </property>
</Properties>
</file>